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03AE" w14:textId="658CB3B7" w:rsidR="00EF4987" w:rsidRPr="00032B07" w:rsidRDefault="00EF4987" w:rsidP="00EF4987">
      <w:pPr>
        <w:keepNext/>
        <w:spacing w:before="480"/>
        <w:jc w:val="center"/>
        <w:rPr>
          <w:b/>
          <w:bCs/>
          <w:sz w:val="28"/>
          <w:lang w:val="de-DE"/>
        </w:rPr>
      </w:pPr>
      <w:r w:rsidRPr="00032B07">
        <w:rPr>
          <w:b/>
          <w:bCs/>
          <w:sz w:val="28"/>
          <w:lang w:val="de-DE"/>
        </w:rPr>
        <w:t>Teilnahmebedingungen</w:t>
      </w:r>
    </w:p>
    <w:p w14:paraId="62EA0AB7" w14:textId="77777777" w:rsidR="00EF4987" w:rsidRPr="005E5FDA" w:rsidRDefault="00EF4987" w:rsidP="00EF4987">
      <w:pPr>
        <w:pStyle w:val="berschrift1"/>
        <w:pageBreakBefore w:val="0"/>
        <w:numPr>
          <w:ilvl w:val="0"/>
          <w:numId w:val="4"/>
        </w:numPr>
        <w:spacing w:before="360" w:after="0"/>
        <w:rPr>
          <w:sz w:val="18"/>
          <w:szCs w:val="20"/>
        </w:rPr>
      </w:pPr>
      <w:bookmarkStart w:id="0" w:name="_Hlk5039939"/>
      <w:bookmarkStart w:id="1" w:name="_Hlk5040009"/>
      <w:r w:rsidRPr="005E5FDA">
        <w:rPr>
          <w:sz w:val="22"/>
        </w:rPr>
        <w:t>Anmeldung</w:t>
      </w:r>
    </w:p>
    <w:bookmarkEnd w:id="0"/>
    <w:p w14:paraId="47AA0CE2" w14:textId="53E5D865" w:rsidR="00EF4987" w:rsidRDefault="00EF4987" w:rsidP="00EF4987">
      <w:pPr>
        <w:pStyle w:val="berschrift2"/>
        <w:tabs>
          <w:tab w:val="clear" w:pos="1021"/>
          <w:tab w:val="num" w:pos="709"/>
        </w:tabs>
        <w:spacing w:before="120"/>
        <w:ind w:left="709" w:hanging="709"/>
        <w:rPr>
          <w:b w:val="0"/>
          <w:sz w:val="20"/>
          <w:szCs w:val="20"/>
          <w:lang w:val="de-DE"/>
        </w:rPr>
      </w:pPr>
      <w:r w:rsidRPr="005E5FDA">
        <w:rPr>
          <w:b w:val="0"/>
          <w:sz w:val="20"/>
          <w:szCs w:val="20"/>
          <w:lang w:val="de-DE"/>
        </w:rPr>
        <w:t xml:space="preserve">Eine </w:t>
      </w:r>
      <w:r w:rsidRPr="005E5FDA">
        <w:rPr>
          <w:b w:val="0"/>
          <w:sz w:val="20"/>
          <w:lang w:val="de-DE"/>
        </w:rPr>
        <w:t>Anmeldung</w:t>
      </w:r>
      <w:r w:rsidRPr="005E5FDA">
        <w:rPr>
          <w:b w:val="0"/>
          <w:sz w:val="20"/>
          <w:szCs w:val="20"/>
          <w:lang w:val="de-DE"/>
        </w:rPr>
        <w:t xml:space="preserve"> zu Veranstaltung</w:t>
      </w:r>
      <w:r w:rsidR="00E45D68">
        <w:rPr>
          <w:b w:val="0"/>
          <w:sz w:val="20"/>
          <w:szCs w:val="20"/>
          <w:lang w:val="de-DE"/>
        </w:rPr>
        <w:t xml:space="preserve">en der </w:t>
      </w:r>
      <w:r w:rsidRPr="00864382">
        <w:rPr>
          <w:b w:val="0"/>
          <w:sz w:val="20"/>
          <w:szCs w:val="20"/>
        </w:rPr>
        <w:t>SBR-net Consulting AG</w:t>
      </w:r>
      <w:r w:rsidRPr="00864382">
        <w:rPr>
          <w:b w:val="0"/>
          <w:sz w:val="20"/>
          <w:szCs w:val="20"/>
          <w:lang w:val="de-DE"/>
        </w:rPr>
        <w:t xml:space="preserve"> können Sie ausschließlich</w:t>
      </w:r>
      <w:r w:rsidR="00E45D68">
        <w:rPr>
          <w:b w:val="0"/>
          <w:sz w:val="20"/>
          <w:szCs w:val="20"/>
          <w:lang w:val="de-DE"/>
        </w:rPr>
        <w:t xml:space="preserve"> über die Website der SBR-net Consulting AG vornehmen</w:t>
      </w:r>
      <w:r w:rsidRPr="00864382">
        <w:rPr>
          <w:b w:val="0"/>
          <w:sz w:val="20"/>
          <w:szCs w:val="20"/>
          <w:lang w:val="de-DE"/>
        </w:rPr>
        <w:t xml:space="preserve">. Die Anmeldung ist verbindlich. Eine schriftliche Bestätigung zur Teilnahme erfolgt per Mail. Die Teilnahme gilt jedoch erst dann fix reserviert, wenn die vollständige </w:t>
      </w:r>
      <w:r w:rsidR="00646163">
        <w:rPr>
          <w:b w:val="0"/>
          <w:sz w:val="20"/>
          <w:szCs w:val="20"/>
          <w:lang w:val="de-DE"/>
        </w:rPr>
        <w:t>T</w:t>
      </w:r>
      <w:r w:rsidRPr="00864382">
        <w:rPr>
          <w:b w:val="0"/>
          <w:sz w:val="20"/>
          <w:szCs w:val="20"/>
          <w:lang w:val="de-DE"/>
        </w:rPr>
        <w:t>eilnahmegebühr b</w:t>
      </w:r>
      <w:r w:rsidRPr="005622FA">
        <w:rPr>
          <w:b w:val="0"/>
          <w:sz w:val="20"/>
          <w:szCs w:val="20"/>
          <w:lang w:val="de-DE"/>
        </w:rPr>
        <w:t xml:space="preserve">ei </w:t>
      </w:r>
      <w:bookmarkStart w:id="2" w:name="_Hlk5039766"/>
      <w:r w:rsidRPr="005622FA">
        <w:rPr>
          <w:b w:val="0"/>
          <w:sz w:val="20"/>
          <w:szCs w:val="20"/>
          <w:lang w:val="de-DE"/>
        </w:rPr>
        <w:t>SBR</w:t>
      </w:r>
      <w:r w:rsidR="00646163">
        <w:rPr>
          <w:b w:val="0"/>
          <w:sz w:val="20"/>
          <w:szCs w:val="20"/>
          <w:lang w:val="de-DE"/>
        </w:rPr>
        <w:t>-net Consulting AG</w:t>
      </w:r>
      <w:bookmarkEnd w:id="2"/>
      <w:r w:rsidRPr="005622FA">
        <w:rPr>
          <w:b w:val="0"/>
          <w:sz w:val="20"/>
          <w:szCs w:val="20"/>
          <w:lang w:val="de-DE"/>
        </w:rPr>
        <w:t xml:space="preserve"> (Bankverbindung: </w:t>
      </w:r>
      <w:r w:rsidR="00614292" w:rsidRPr="00CE7063">
        <w:rPr>
          <w:rFonts w:cs="Arial"/>
          <w:b w:val="0"/>
          <w:sz w:val="20"/>
          <w:szCs w:val="20"/>
          <w:lang w:val="de-DE"/>
        </w:rPr>
        <w:t>IBAN DE89</w:t>
      </w:r>
      <w:r w:rsidR="00614292">
        <w:rPr>
          <w:rFonts w:cs="Arial"/>
          <w:b w:val="0"/>
          <w:sz w:val="20"/>
          <w:szCs w:val="20"/>
          <w:lang w:val="de-DE"/>
        </w:rPr>
        <w:t xml:space="preserve"> </w:t>
      </w:r>
      <w:r w:rsidR="00614292" w:rsidRPr="00CE7063">
        <w:rPr>
          <w:rFonts w:cs="Arial"/>
          <w:b w:val="0"/>
          <w:sz w:val="20"/>
          <w:szCs w:val="20"/>
          <w:lang w:val="de-DE"/>
        </w:rPr>
        <w:t>3008</w:t>
      </w:r>
      <w:r w:rsidR="00614292">
        <w:rPr>
          <w:rFonts w:cs="Arial"/>
          <w:b w:val="0"/>
          <w:sz w:val="20"/>
          <w:szCs w:val="20"/>
          <w:lang w:val="de-DE"/>
        </w:rPr>
        <w:t xml:space="preserve"> </w:t>
      </w:r>
      <w:r w:rsidR="00614292" w:rsidRPr="00CE7063">
        <w:rPr>
          <w:rFonts w:cs="Arial"/>
          <w:b w:val="0"/>
          <w:sz w:val="20"/>
          <w:szCs w:val="20"/>
          <w:lang w:val="de-DE"/>
        </w:rPr>
        <w:t>0000</w:t>
      </w:r>
      <w:r w:rsidR="00614292">
        <w:rPr>
          <w:rFonts w:cs="Arial"/>
          <w:b w:val="0"/>
          <w:sz w:val="20"/>
          <w:szCs w:val="20"/>
          <w:lang w:val="de-DE"/>
        </w:rPr>
        <w:t xml:space="preserve"> </w:t>
      </w:r>
      <w:r w:rsidR="00614292" w:rsidRPr="00CE7063">
        <w:rPr>
          <w:rFonts w:cs="Arial"/>
          <w:b w:val="0"/>
          <w:sz w:val="20"/>
          <w:szCs w:val="20"/>
          <w:lang w:val="de-DE"/>
        </w:rPr>
        <w:t>0464</w:t>
      </w:r>
      <w:r w:rsidR="00614292">
        <w:rPr>
          <w:rFonts w:cs="Arial"/>
          <w:b w:val="0"/>
          <w:sz w:val="20"/>
          <w:szCs w:val="20"/>
          <w:lang w:val="de-DE"/>
        </w:rPr>
        <w:t xml:space="preserve"> </w:t>
      </w:r>
      <w:r w:rsidR="00614292" w:rsidRPr="00CE7063">
        <w:rPr>
          <w:rFonts w:cs="Arial"/>
          <w:b w:val="0"/>
          <w:sz w:val="20"/>
          <w:szCs w:val="20"/>
          <w:lang w:val="de-DE"/>
        </w:rPr>
        <w:t>0500</w:t>
      </w:r>
      <w:r w:rsidR="00614292">
        <w:rPr>
          <w:rFonts w:cs="Arial"/>
          <w:b w:val="0"/>
          <w:sz w:val="20"/>
          <w:szCs w:val="20"/>
          <w:lang w:val="de-DE"/>
        </w:rPr>
        <w:t xml:space="preserve"> </w:t>
      </w:r>
      <w:r w:rsidR="00614292" w:rsidRPr="00CE7063">
        <w:rPr>
          <w:rFonts w:cs="Arial"/>
          <w:b w:val="0"/>
          <w:sz w:val="20"/>
          <w:szCs w:val="20"/>
          <w:lang w:val="de-DE"/>
        </w:rPr>
        <w:t>00</w:t>
      </w:r>
      <w:r w:rsidRPr="00864382">
        <w:rPr>
          <w:b w:val="0"/>
          <w:sz w:val="20"/>
          <w:szCs w:val="20"/>
          <w:lang w:val="de-DE"/>
        </w:rPr>
        <w:t>)</w:t>
      </w:r>
      <w:r w:rsidRPr="005E5FDA">
        <w:rPr>
          <w:b w:val="0"/>
          <w:sz w:val="20"/>
          <w:szCs w:val="20"/>
          <w:lang w:val="de-DE"/>
        </w:rPr>
        <w:t xml:space="preserve"> eingelangt ist</w:t>
      </w:r>
      <w:r w:rsidR="00E45D68">
        <w:rPr>
          <w:b w:val="0"/>
          <w:sz w:val="20"/>
          <w:szCs w:val="20"/>
          <w:lang w:val="de-DE"/>
        </w:rPr>
        <w:t xml:space="preserve"> bzw. bei kostenfreien Veranstaltungen die Anmeldung durch SBR-net Consulting AG bestätigt wurde</w:t>
      </w:r>
      <w:r w:rsidRPr="005E5FDA">
        <w:rPr>
          <w:b w:val="0"/>
          <w:sz w:val="20"/>
          <w:szCs w:val="20"/>
          <w:lang w:val="de-DE"/>
        </w:rPr>
        <w:t xml:space="preserve">. </w:t>
      </w:r>
    </w:p>
    <w:bookmarkEnd w:id="1"/>
    <w:p w14:paraId="61BD2459" w14:textId="3BDE32C9" w:rsidR="00EF4987" w:rsidRDefault="00EF4987" w:rsidP="00EF4987">
      <w:pPr>
        <w:pStyle w:val="berschrift2"/>
        <w:tabs>
          <w:tab w:val="clear" w:pos="1021"/>
          <w:tab w:val="num" w:pos="709"/>
        </w:tabs>
        <w:spacing w:before="120"/>
        <w:ind w:left="709" w:hanging="709"/>
        <w:rPr>
          <w:b w:val="0"/>
          <w:sz w:val="20"/>
          <w:lang w:val="de-DE"/>
        </w:rPr>
      </w:pPr>
      <w:r w:rsidRPr="00734EB6">
        <w:rPr>
          <w:b w:val="0"/>
          <w:sz w:val="20"/>
          <w:lang w:val="de-DE"/>
        </w:rPr>
        <w:t>Die angegebene Anmeld</w:t>
      </w:r>
      <w:r w:rsidRPr="005E5FDA">
        <w:rPr>
          <w:b w:val="0"/>
          <w:sz w:val="20"/>
          <w:lang w:val="de-DE"/>
        </w:rPr>
        <w:t>efrist ist einzuhalten.</w:t>
      </w:r>
      <w:r w:rsidRPr="00032B07">
        <w:rPr>
          <w:b w:val="0"/>
          <w:sz w:val="20"/>
          <w:lang w:val="de-DE"/>
        </w:rPr>
        <w:t xml:space="preserve"> Wenn keine Anmeldefrist explizit angegeben ist, dann gilt ein Anmeldeschluss von vier Wochen vor Beginn der Veranstaltung.</w:t>
      </w:r>
    </w:p>
    <w:p w14:paraId="302859E7" w14:textId="06D7A54E" w:rsidR="00EF4987" w:rsidRDefault="00EF4987" w:rsidP="00EF4987">
      <w:pPr>
        <w:pStyle w:val="berschrift2"/>
        <w:tabs>
          <w:tab w:val="clear" w:pos="1021"/>
          <w:tab w:val="num" w:pos="709"/>
        </w:tabs>
        <w:spacing w:before="120"/>
        <w:ind w:left="709" w:hanging="709"/>
        <w:rPr>
          <w:b w:val="0"/>
          <w:sz w:val="20"/>
          <w:lang w:val="de-DE"/>
        </w:rPr>
      </w:pPr>
      <w:r w:rsidRPr="00032B07">
        <w:rPr>
          <w:b w:val="0"/>
          <w:sz w:val="20"/>
          <w:lang w:val="de-DE"/>
        </w:rPr>
        <w:t xml:space="preserve">SBR-net Consulting AG behält sich vor, Anmeldungen auch nach Anmeldeschluss anzunehmen </w:t>
      </w:r>
      <w:proofErr w:type="gramStart"/>
      <w:r w:rsidRPr="00032B07">
        <w:rPr>
          <w:b w:val="0"/>
          <w:sz w:val="20"/>
          <w:lang w:val="de-DE"/>
        </w:rPr>
        <w:t>soweit</w:t>
      </w:r>
      <w:proofErr w:type="gramEnd"/>
      <w:r w:rsidRPr="00032B07">
        <w:rPr>
          <w:b w:val="0"/>
          <w:sz w:val="20"/>
          <w:lang w:val="de-DE"/>
        </w:rPr>
        <w:t xml:space="preserve"> freie Plätze zur Verfügung stehen.</w:t>
      </w:r>
    </w:p>
    <w:p w14:paraId="19ED5DCE" w14:textId="40639190" w:rsidR="001A5F1F" w:rsidRPr="00062A89" w:rsidRDefault="001A5F1F" w:rsidP="00062A89">
      <w:pPr>
        <w:pStyle w:val="berschrift2"/>
        <w:tabs>
          <w:tab w:val="clear" w:pos="1021"/>
          <w:tab w:val="num" w:pos="709"/>
        </w:tabs>
        <w:spacing w:before="120"/>
        <w:ind w:left="709" w:hanging="709"/>
        <w:rPr>
          <w:b w:val="0"/>
          <w:sz w:val="20"/>
          <w:lang w:val="de-DE"/>
        </w:rPr>
      </w:pPr>
      <w:r w:rsidRPr="00AB7E93">
        <w:rPr>
          <w:b w:val="0"/>
          <w:sz w:val="20"/>
          <w:lang w:val="de-DE"/>
        </w:rPr>
        <w:t>Die vorgenannten Bedingungen gelten sinngemäß für Veranstaltungen mit persönlicher Anwesenheit und auch für Veranstaltungen als Web-Konferenzen</w:t>
      </w:r>
      <w:r w:rsidR="00AA4406">
        <w:rPr>
          <w:b w:val="0"/>
          <w:sz w:val="20"/>
          <w:lang w:val="de-DE"/>
        </w:rPr>
        <w:t xml:space="preserve"> (via Live-Stream oder aufgezeichnetem Video)</w:t>
      </w:r>
      <w:r w:rsidRPr="00AB7E93">
        <w:rPr>
          <w:b w:val="0"/>
          <w:sz w:val="20"/>
          <w:lang w:val="de-DE"/>
        </w:rPr>
        <w:t>. Bei letzteren erhalten die Teilnehmer zusätzlich zur Anmeldebestätigung auch Zugangsdaten für die Webkonferenz per E-Mail vor der Veranstaltung zugesendet.</w:t>
      </w:r>
    </w:p>
    <w:p w14:paraId="77B6934C" w14:textId="6D5A965C" w:rsidR="00646163" w:rsidRPr="00646163" w:rsidRDefault="00646163" w:rsidP="00646163">
      <w:pPr>
        <w:pStyle w:val="berschrift1"/>
        <w:pageBreakBefore w:val="0"/>
        <w:numPr>
          <w:ilvl w:val="0"/>
          <w:numId w:val="4"/>
        </w:numPr>
        <w:spacing w:before="360" w:after="0"/>
        <w:rPr>
          <w:sz w:val="18"/>
          <w:szCs w:val="20"/>
        </w:rPr>
      </w:pPr>
      <w:r>
        <w:rPr>
          <w:sz w:val="22"/>
        </w:rPr>
        <w:t>Dauer</w:t>
      </w:r>
    </w:p>
    <w:p w14:paraId="323DC112" w14:textId="5EEA04C1" w:rsidR="00646163" w:rsidRPr="00646163" w:rsidRDefault="00646163" w:rsidP="00646163">
      <w:pPr>
        <w:pStyle w:val="berschrift2"/>
        <w:tabs>
          <w:tab w:val="clear" w:pos="1021"/>
          <w:tab w:val="num" w:pos="709"/>
        </w:tabs>
        <w:spacing w:before="120"/>
        <w:ind w:left="709" w:hanging="709"/>
        <w:rPr>
          <w:b w:val="0"/>
          <w:sz w:val="20"/>
          <w:lang w:val="de-DE"/>
        </w:rPr>
      </w:pPr>
      <w:r w:rsidRPr="00646163">
        <w:rPr>
          <w:b w:val="0"/>
          <w:sz w:val="20"/>
          <w:lang w:val="de-DE"/>
        </w:rPr>
        <w:t xml:space="preserve">Die Dauer der Veranstaltung entnehmen Sie bitte den jeweiligen Beschreibungen der Veranstaltungen </w:t>
      </w:r>
      <w:r w:rsidR="00E45D68">
        <w:rPr>
          <w:b w:val="0"/>
          <w:sz w:val="20"/>
          <w:lang w:val="de-DE"/>
        </w:rPr>
        <w:t>auf der Homepage und Infomails</w:t>
      </w:r>
      <w:r w:rsidRPr="00646163">
        <w:rPr>
          <w:b w:val="0"/>
          <w:sz w:val="20"/>
          <w:lang w:val="de-DE"/>
        </w:rPr>
        <w:t xml:space="preserve"> hierzu. </w:t>
      </w:r>
    </w:p>
    <w:p w14:paraId="6AA146C6" w14:textId="77777777" w:rsidR="00646163" w:rsidRPr="00646163" w:rsidRDefault="00646163" w:rsidP="00646163">
      <w:pPr>
        <w:pStyle w:val="berschrift1"/>
        <w:pageBreakBefore w:val="0"/>
        <w:numPr>
          <w:ilvl w:val="0"/>
          <w:numId w:val="4"/>
        </w:numPr>
        <w:spacing w:before="360" w:after="0"/>
        <w:rPr>
          <w:sz w:val="22"/>
        </w:rPr>
      </w:pPr>
      <w:r w:rsidRPr="00032B07">
        <w:rPr>
          <w:sz w:val="22"/>
        </w:rPr>
        <w:t>Preis</w:t>
      </w:r>
    </w:p>
    <w:p w14:paraId="4824FCE9" w14:textId="0B95D6BF" w:rsidR="00646163" w:rsidRPr="00032B07" w:rsidRDefault="00646163" w:rsidP="00646163">
      <w:pPr>
        <w:pStyle w:val="berschrift2"/>
        <w:tabs>
          <w:tab w:val="clear" w:pos="1021"/>
          <w:tab w:val="num" w:pos="709"/>
        </w:tabs>
        <w:spacing w:before="120"/>
        <w:ind w:left="709" w:hanging="709"/>
        <w:rPr>
          <w:b w:val="0"/>
          <w:sz w:val="20"/>
          <w:lang w:val="de-DE"/>
        </w:rPr>
      </w:pPr>
      <w:r>
        <w:rPr>
          <w:b w:val="0"/>
          <w:sz w:val="20"/>
          <w:lang w:val="de-DE"/>
        </w:rPr>
        <w:t>Die Teilnahmegebühr beträgt </w:t>
      </w:r>
      <w:r w:rsidR="001A5F1F">
        <w:rPr>
          <w:b w:val="0"/>
          <w:sz w:val="20"/>
          <w:lang w:val="de-DE"/>
        </w:rPr>
        <w:t xml:space="preserve">für Veranstaltungen mit </w:t>
      </w:r>
      <w:proofErr w:type="gramStart"/>
      <w:r w:rsidR="001A5F1F">
        <w:rPr>
          <w:b w:val="0"/>
          <w:sz w:val="20"/>
          <w:lang w:val="de-DE"/>
        </w:rPr>
        <w:t>persönlicher Anwesenheit</w:t>
      </w:r>
      <w:proofErr w:type="gramEnd"/>
      <w:r w:rsidR="00614292">
        <w:rPr>
          <w:b w:val="0"/>
          <w:sz w:val="20"/>
          <w:lang w:val="de-DE"/>
        </w:rPr>
        <w:t xml:space="preserve"> </w:t>
      </w:r>
      <w:r w:rsidR="003B06BB">
        <w:rPr>
          <w:b w:val="0"/>
          <w:sz w:val="20"/>
          <w:lang w:val="de-DE"/>
        </w:rPr>
        <w:t>4</w:t>
      </w:r>
      <w:r w:rsidR="0045449E">
        <w:rPr>
          <w:b w:val="0"/>
          <w:sz w:val="20"/>
          <w:lang w:val="de-DE"/>
        </w:rPr>
        <w:t>80</w:t>
      </w:r>
      <w:r w:rsidR="00E45D68">
        <w:rPr>
          <w:b w:val="0"/>
          <w:sz w:val="20"/>
          <w:lang w:val="de-DE"/>
        </w:rPr>
        <w:t>,00</w:t>
      </w:r>
      <w:r w:rsidRPr="00864382">
        <w:rPr>
          <w:b w:val="0"/>
          <w:sz w:val="20"/>
          <w:lang w:val="de-DE"/>
        </w:rPr>
        <w:t xml:space="preserve"> Euro zzgl. </w:t>
      </w:r>
      <w:r>
        <w:rPr>
          <w:b w:val="0"/>
          <w:sz w:val="20"/>
          <w:lang w:val="de-DE"/>
        </w:rPr>
        <w:t xml:space="preserve">der zum Zeitpunkt der Rechnungsstellung geltenden </w:t>
      </w:r>
      <w:proofErr w:type="spellStart"/>
      <w:r>
        <w:rPr>
          <w:b w:val="0"/>
          <w:sz w:val="20"/>
          <w:lang w:val="de-DE"/>
        </w:rPr>
        <w:t>USt</w:t>
      </w:r>
      <w:proofErr w:type="spellEnd"/>
      <w:r>
        <w:rPr>
          <w:b w:val="0"/>
          <w:sz w:val="20"/>
          <w:lang w:val="de-DE"/>
        </w:rPr>
        <w:t>.</w:t>
      </w:r>
      <w:r w:rsidR="001A5F1F">
        <w:rPr>
          <w:b w:val="0"/>
          <w:sz w:val="20"/>
          <w:lang w:val="de-DE"/>
        </w:rPr>
        <w:t xml:space="preserve"> und für </w:t>
      </w:r>
      <w:r w:rsidR="00AA4406">
        <w:rPr>
          <w:b w:val="0"/>
          <w:sz w:val="20"/>
          <w:lang w:val="de-DE"/>
        </w:rPr>
        <w:t>(</w:t>
      </w:r>
      <w:r w:rsidR="009D77D6">
        <w:rPr>
          <w:b w:val="0"/>
          <w:sz w:val="20"/>
          <w:lang w:val="de-DE"/>
        </w:rPr>
        <w:t>Live</w:t>
      </w:r>
      <w:r w:rsidR="00AA4406">
        <w:rPr>
          <w:b w:val="0"/>
          <w:sz w:val="20"/>
          <w:lang w:val="de-DE"/>
        </w:rPr>
        <w:t>)</w:t>
      </w:r>
      <w:r w:rsidR="009D77D6">
        <w:rPr>
          <w:b w:val="0"/>
          <w:sz w:val="20"/>
          <w:lang w:val="de-DE"/>
        </w:rPr>
        <w:t xml:space="preserve"> Streaming von Veranstaltungen („</w:t>
      </w:r>
      <w:r w:rsidR="001A5F1F">
        <w:rPr>
          <w:b w:val="0"/>
          <w:sz w:val="20"/>
          <w:lang w:val="de-DE"/>
        </w:rPr>
        <w:t>Web-Konferenzen</w:t>
      </w:r>
      <w:r w:rsidR="009D77D6">
        <w:rPr>
          <w:b w:val="0"/>
          <w:sz w:val="20"/>
          <w:lang w:val="de-DE"/>
        </w:rPr>
        <w:t>“)</w:t>
      </w:r>
      <w:r w:rsidR="003B06BB">
        <w:rPr>
          <w:b w:val="0"/>
          <w:sz w:val="20"/>
          <w:lang w:val="de-DE"/>
        </w:rPr>
        <w:t xml:space="preserve"> </w:t>
      </w:r>
      <w:r w:rsidR="00A4295E">
        <w:rPr>
          <w:b w:val="0"/>
          <w:sz w:val="20"/>
          <w:lang w:val="de-DE"/>
        </w:rPr>
        <w:t>290</w:t>
      </w:r>
      <w:r w:rsidR="001A5F1F">
        <w:rPr>
          <w:b w:val="0"/>
          <w:sz w:val="20"/>
          <w:lang w:val="de-DE"/>
        </w:rPr>
        <w:t>,00</w:t>
      </w:r>
      <w:r w:rsidR="001A5F1F" w:rsidRPr="00864382">
        <w:rPr>
          <w:b w:val="0"/>
          <w:sz w:val="20"/>
          <w:lang w:val="de-DE"/>
        </w:rPr>
        <w:t xml:space="preserve"> Euro zzgl. </w:t>
      </w:r>
      <w:r w:rsidR="001A5F1F">
        <w:rPr>
          <w:b w:val="0"/>
          <w:sz w:val="20"/>
          <w:lang w:val="de-DE"/>
        </w:rPr>
        <w:t xml:space="preserve">der zum Zeitpunkt der Rechnungsstellung geltenden </w:t>
      </w:r>
      <w:proofErr w:type="spellStart"/>
      <w:r w:rsidR="001A5F1F">
        <w:rPr>
          <w:b w:val="0"/>
          <w:sz w:val="20"/>
          <w:lang w:val="de-DE"/>
        </w:rPr>
        <w:t>USt</w:t>
      </w:r>
      <w:proofErr w:type="spellEnd"/>
      <w:r w:rsidR="00062A89">
        <w:rPr>
          <w:b w:val="0"/>
          <w:sz w:val="20"/>
          <w:lang w:val="de-DE"/>
        </w:rPr>
        <w:t>.</w:t>
      </w:r>
    </w:p>
    <w:p w14:paraId="4AEB3603" w14:textId="3AAF4437" w:rsidR="00AB7E93" w:rsidRPr="003B06BB" w:rsidRDefault="00646163" w:rsidP="003B06BB">
      <w:pPr>
        <w:pStyle w:val="berschrift2"/>
        <w:tabs>
          <w:tab w:val="clear" w:pos="1021"/>
          <w:tab w:val="num" w:pos="709"/>
        </w:tabs>
        <w:spacing w:before="120"/>
        <w:ind w:left="709" w:hanging="709"/>
        <w:rPr>
          <w:b w:val="0"/>
          <w:sz w:val="20"/>
          <w:lang w:val="de-DE"/>
        </w:rPr>
      </w:pPr>
      <w:r w:rsidRPr="003B06BB">
        <w:rPr>
          <w:b w:val="0"/>
          <w:sz w:val="20"/>
          <w:lang w:val="de-DE"/>
        </w:rPr>
        <w:t>Ein etwaiger Frühbucher-Bonus kann nur bei einer Anmeldung bis zum angegebenen Datum in Anspruch genommen werden. Ermäßigungen (z.B. Rabatte, Frühbucherboni etc.) können nicht addiert werden, d.h. es gilt die jeweils höchste Ermäßigung pro Veranstaltung/Termin.</w:t>
      </w:r>
      <w:r w:rsidR="00AB7E93" w:rsidRPr="003B06BB">
        <w:rPr>
          <w:b w:val="0"/>
          <w:sz w:val="20"/>
          <w:lang w:val="de-DE"/>
        </w:rPr>
        <w:br w:type="page"/>
      </w:r>
    </w:p>
    <w:p w14:paraId="397C3013" w14:textId="7DE15DC0" w:rsidR="00646163" w:rsidRPr="00AB7E93" w:rsidRDefault="00646163" w:rsidP="00646163">
      <w:pPr>
        <w:pStyle w:val="berschrift2"/>
        <w:tabs>
          <w:tab w:val="clear" w:pos="1021"/>
          <w:tab w:val="num" w:pos="709"/>
        </w:tabs>
        <w:spacing w:before="120"/>
        <w:ind w:left="709" w:hanging="709"/>
        <w:rPr>
          <w:b w:val="0"/>
          <w:sz w:val="20"/>
          <w:lang w:val="de-DE"/>
        </w:rPr>
      </w:pPr>
      <w:r w:rsidRPr="00032B07">
        <w:rPr>
          <w:b w:val="0"/>
          <w:sz w:val="20"/>
          <w:lang w:val="de-DE"/>
        </w:rPr>
        <w:lastRenderedPageBreak/>
        <w:t>Mit Bestätigung der Anmeldung ist die Teilnahmegebühr</w:t>
      </w:r>
      <w:r w:rsidR="00062A89">
        <w:rPr>
          <w:b w:val="0"/>
          <w:sz w:val="20"/>
          <w:lang w:val="de-DE"/>
        </w:rPr>
        <w:t>, sofern es eine gebührenpflichtige Veranstaltung ist,</w:t>
      </w:r>
      <w:r w:rsidRPr="00032B07">
        <w:rPr>
          <w:b w:val="0"/>
          <w:sz w:val="20"/>
          <w:lang w:val="de-DE"/>
        </w:rPr>
        <w:t xml:space="preserve"> binnen </w:t>
      </w:r>
      <w:r w:rsidR="001A5F1F">
        <w:rPr>
          <w:b w:val="0"/>
          <w:sz w:val="20"/>
          <w:lang w:val="de-DE"/>
        </w:rPr>
        <w:t>2</w:t>
      </w:r>
      <w:r w:rsidRPr="00032B07">
        <w:rPr>
          <w:b w:val="0"/>
          <w:sz w:val="20"/>
          <w:lang w:val="de-DE"/>
        </w:rPr>
        <w:t xml:space="preserve"> Wochen ab Erhalt der Bestätigung zu zahlen.</w:t>
      </w:r>
    </w:p>
    <w:p w14:paraId="64093CB7" w14:textId="7AFFC846" w:rsidR="00EF4987" w:rsidRPr="00032B07" w:rsidRDefault="00EF4987" w:rsidP="00646163">
      <w:pPr>
        <w:pStyle w:val="berschrift1"/>
        <w:pageBreakBefore w:val="0"/>
        <w:numPr>
          <w:ilvl w:val="0"/>
          <w:numId w:val="4"/>
        </w:numPr>
        <w:spacing w:before="360" w:after="0"/>
        <w:rPr>
          <w:sz w:val="22"/>
        </w:rPr>
      </w:pPr>
      <w:r w:rsidRPr="00032B07">
        <w:rPr>
          <w:sz w:val="22"/>
        </w:rPr>
        <w:t>Rücktritt</w:t>
      </w:r>
      <w:r w:rsidR="00062A89">
        <w:rPr>
          <w:sz w:val="22"/>
        </w:rPr>
        <w:t xml:space="preserve"> </w:t>
      </w:r>
    </w:p>
    <w:p w14:paraId="516B159E" w14:textId="0E5C1104" w:rsidR="00EF4987" w:rsidRPr="005E5FDA" w:rsidRDefault="00EF4987" w:rsidP="00EF4987">
      <w:pPr>
        <w:pStyle w:val="berschrift2"/>
        <w:tabs>
          <w:tab w:val="clear" w:pos="1021"/>
          <w:tab w:val="num" w:pos="709"/>
        </w:tabs>
        <w:spacing w:before="120"/>
        <w:ind w:left="709" w:hanging="709"/>
        <w:rPr>
          <w:b w:val="0"/>
          <w:sz w:val="20"/>
          <w:szCs w:val="20"/>
          <w:lang w:val="de-DE"/>
        </w:rPr>
      </w:pPr>
      <w:r w:rsidRPr="005E5FDA">
        <w:rPr>
          <w:b w:val="0"/>
          <w:sz w:val="20"/>
          <w:szCs w:val="20"/>
          <w:lang w:val="de-DE"/>
        </w:rPr>
        <w:t xml:space="preserve">Die Stornierung einer Anmeldung muss schriftlich (per E-Mail an </w:t>
      </w:r>
      <w:hyperlink r:id="rId8" w:history="1">
        <w:r w:rsidR="00A4295E">
          <w:rPr>
            <w:rStyle w:val="Hyperlink"/>
            <w:b w:val="0"/>
            <w:sz w:val="20"/>
            <w:szCs w:val="20"/>
            <w:lang w:val="de-DE"/>
          </w:rPr>
          <w:t>events</w:t>
        </w:r>
        <w:r w:rsidR="00A4295E" w:rsidRPr="00A42551">
          <w:rPr>
            <w:rStyle w:val="Hyperlink"/>
            <w:b w:val="0"/>
            <w:sz w:val="20"/>
            <w:szCs w:val="20"/>
            <w:lang w:val="de-DE"/>
          </w:rPr>
          <w:t>@sbr-net.com</w:t>
        </w:r>
      </w:hyperlink>
      <w:r w:rsidRPr="005E5FDA">
        <w:rPr>
          <w:b w:val="0"/>
          <w:sz w:val="20"/>
          <w:szCs w:val="20"/>
          <w:lang w:val="de-DE"/>
        </w:rPr>
        <w:t xml:space="preserve"> oder per Post) an die Anmeldeadresse erfolgen.</w:t>
      </w:r>
    </w:p>
    <w:p w14:paraId="14291FC6" w14:textId="77777777" w:rsidR="00EF4987" w:rsidRPr="005E5FDA" w:rsidRDefault="00EF4987" w:rsidP="00EF4987">
      <w:pPr>
        <w:pStyle w:val="berschrift2"/>
        <w:tabs>
          <w:tab w:val="clear" w:pos="1021"/>
          <w:tab w:val="num" w:pos="709"/>
        </w:tabs>
        <w:spacing w:before="120"/>
        <w:ind w:left="709" w:hanging="709"/>
        <w:rPr>
          <w:b w:val="0"/>
          <w:sz w:val="20"/>
          <w:szCs w:val="20"/>
          <w:lang w:val="de-DE"/>
        </w:rPr>
      </w:pPr>
      <w:r w:rsidRPr="005E5FDA">
        <w:rPr>
          <w:b w:val="0"/>
          <w:sz w:val="20"/>
          <w:szCs w:val="20"/>
          <w:lang w:val="de-DE"/>
        </w:rPr>
        <w:t>Das Versäumnis bzw. Ignorieren einer Zahlungsaufforderung ist nicht mit einer Stornierung der Teilnahme an der Veranstaltung gleichzusetzen.</w:t>
      </w:r>
    </w:p>
    <w:p w14:paraId="08B4AC73" w14:textId="08E99977" w:rsidR="00EF4987" w:rsidRPr="00032B07" w:rsidRDefault="00EF4987" w:rsidP="00EF4987">
      <w:pPr>
        <w:pStyle w:val="berschrift2"/>
        <w:tabs>
          <w:tab w:val="clear" w:pos="1021"/>
          <w:tab w:val="num" w:pos="709"/>
        </w:tabs>
        <w:spacing w:before="120"/>
        <w:ind w:left="709" w:hanging="709"/>
        <w:rPr>
          <w:b w:val="0"/>
          <w:sz w:val="20"/>
          <w:lang w:val="de-DE"/>
        </w:rPr>
      </w:pPr>
      <w:r w:rsidRPr="00032B07">
        <w:rPr>
          <w:b w:val="0"/>
          <w:sz w:val="20"/>
          <w:lang w:val="de-DE"/>
        </w:rPr>
        <w:t xml:space="preserve">Bei Abmeldung nach der Anmeldefrist bis 14 Tage </w:t>
      </w:r>
      <w:r w:rsidR="001A5F1F">
        <w:rPr>
          <w:b w:val="0"/>
          <w:sz w:val="20"/>
          <w:lang w:val="de-DE"/>
        </w:rPr>
        <w:t xml:space="preserve">(bei Veranstaltungen mit persönlicher Anwesenheit) bzw. 7 Tage (bei Web-Konferenzen) </w:t>
      </w:r>
      <w:r w:rsidRPr="00032B07">
        <w:rPr>
          <w:b w:val="0"/>
          <w:sz w:val="20"/>
          <w:lang w:val="de-DE"/>
        </w:rPr>
        <w:t xml:space="preserve">vor Beginn der Veranstaltung sind 50 % der Veranstaltungsgebühr als Bearbeitungsgebühr zu entrichten. Bei Stornierungen ab </w:t>
      </w:r>
      <w:r w:rsidRPr="00864382">
        <w:rPr>
          <w:b w:val="0"/>
          <w:sz w:val="20"/>
          <w:lang w:val="de-DE"/>
        </w:rPr>
        <w:t>14 Tagen</w:t>
      </w:r>
      <w:r>
        <w:rPr>
          <w:b w:val="0"/>
          <w:sz w:val="20"/>
          <w:lang w:val="de-DE"/>
        </w:rPr>
        <w:t xml:space="preserve"> </w:t>
      </w:r>
      <w:r w:rsidR="001A5F1F">
        <w:rPr>
          <w:b w:val="0"/>
          <w:sz w:val="20"/>
          <w:lang w:val="de-DE"/>
        </w:rPr>
        <w:t xml:space="preserve">(bei Veranstaltungen mit persönlicher Anwesenheit) bzw. 7 Tage (bei Web-Konferenzen) </w:t>
      </w:r>
      <w:r w:rsidRPr="00032B07">
        <w:rPr>
          <w:b w:val="0"/>
          <w:sz w:val="20"/>
          <w:lang w:val="de-DE"/>
        </w:rPr>
        <w:t xml:space="preserve">wird die volle Gebühr in Rechnung gestellt. </w:t>
      </w:r>
      <w:r w:rsidR="00E45D68">
        <w:rPr>
          <w:b w:val="0"/>
          <w:sz w:val="20"/>
          <w:lang w:val="de-DE"/>
        </w:rPr>
        <w:t>Es</w:t>
      </w:r>
      <w:r w:rsidR="00E45D68" w:rsidRPr="00032B07">
        <w:rPr>
          <w:b w:val="0"/>
          <w:sz w:val="20"/>
          <w:lang w:val="de-DE"/>
        </w:rPr>
        <w:t xml:space="preserve"> </w:t>
      </w:r>
      <w:r w:rsidRPr="00032B07">
        <w:rPr>
          <w:b w:val="0"/>
          <w:sz w:val="20"/>
          <w:lang w:val="de-DE"/>
        </w:rPr>
        <w:t xml:space="preserve">kann seitens des Kunden eine </w:t>
      </w:r>
      <w:r>
        <w:rPr>
          <w:b w:val="0"/>
          <w:sz w:val="20"/>
          <w:lang w:val="de-DE"/>
        </w:rPr>
        <w:t>Ersatzperson</w:t>
      </w:r>
      <w:r w:rsidR="00E45D68">
        <w:rPr>
          <w:b w:val="0"/>
          <w:sz w:val="20"/>
          <w:lang w:val="de-DE"/>
        </w:rPr>
        <w:t xml:space="preserve"> aus der gleichen Institution oder dem gleichen Unternehmen</w:t>
      </w:r>
      <w:r>
        <w:rPr>
          <w:b w:val="0"/>
          <w:sz w:val="20"/>
          <w:lang w:val="de-DE"/>
        </w:rPr>
        <w:t xml:space="preserve"> nominiert werden.</w:t>
      </w:r>
    </w:p>
    <w:p w14:paraId="16487020" w14:textId="623134C2" w:rsidR="00EF4987" w:rsidRPr="00032B07" w:rsidRDefault="00EF4987" w:rsidP="00EF4987">
      <w:pPr>
        <w:pStyle w:val="berschrift2"/>
        <w:tabs>
          <w:tab w:val="clear" w:pos="1021"/>
          <w:tab w:val="num" w:pos="709"/>
        </w:tabs>
        <w:spacing w:before="120"/>
        <w:ind w:left="709" w:hanging="709"/>
        <w:rPr>
          <w:b w:val="0"/>
          <w:sz w:val="20"/>
          <w:lang w:val="de-DE"/>
        </w:rPr>
      </w:pPr>
      <w:r w:rsidRPr="00032B07">
        <w:rPr>
          <w:b w:val="0"/>
          <w:sz w:val="20"/>
          <w:lang w:val="de-DE"/>
        </w:rPr>
        <w:t>Die Rücktrittsfrist gilt als gewahrt, wenn die Rücktrittserklärung innerhalb der Frist abgesendet wird. Rücktritte von der Vertragserklärung sind daher binnen 14 Kalendertagen ab dem Vertragsabschluss ohne Angabe von Gründen durch Absenden einer schriftlichen Rücktrittserklärung möglich. Dafür genügt es, wenn die Rücktrittserklärung innerhalb dieser</w:t>
      </w:r>
      <w:r w:rsidR="00AB7E93">
        <w:rPr>
          <w:b w:val="0"/>
          <w:sz w:val="20"/>
          <w:lang w:val="de-DE"/>
        </w:rPr>
        <w:t xml:space="preserve"> F</w:t>
      </w:r>
      <w:r w:rsidRPr="00032B07">
        <w:rPr>
          <w:b w:val="0"/>
          <w:sz w:val="20"/>
          <w:lang w:val="de-DE"/>
        </w:rPr>
        <w:t>rist abgesendet wird (entscheidend ist das Datum des Postaufgabescheines). Sams</w:t>
      </w:r>
      <w:r>
        <w:rPr>
          <w:b w:val="0"/>
          <w:sz w:val="20"/>
          <w:lang w:val="de-DE"/>
        </w:rPr>
        <w:t>tage zählen nicht als Werktage.</w:t>
      </w:r>
    </w:p>
    <w:p w14:paraId="740245E0" w14:textId="18ED387F" w:rsidR="00EF4987" w:rsidRDefault="00EF4987" w:rsidP="00EF4987">
      <w:pPr>
        <w:pStyle w:val="berschrift2"/>
        <w:tabs>
          <w:tab w:val="clear" w:pos="1021"/>
          <w:tab w:val="num" w:pos="709"/>
        </w:tabs>
        <w:spacing w:before="120"/>
        <w:ind w:left="709" w:hanging="709"/>
        <w:rPr>
          <w:b w:val="0"/>
          <w:sz w:val="20"/>
          <w:lang w:val="de-DE"/>
        </w:rPr>
      </w:pPr>
      <w:r w:rsidRPr="00032B07">
        <w:rPr>
          <w:b w:val="0"/>
          <w:sz w:val="20"/>
          <w:lang w:val="de-DE"/>
        </w:rPr>
        <w:t>Ist kein Anmeldeschluss angegeben, gelten vier Wochen vor Beginn der Veranstaltung als Anmeldeschluss.</w:t>
      </w:r>
    </w:p>
    <w:p w14:paraId="4176DBFD" w14:textId="48F160DB" w:rsidR="00AB7E93" w:rsidRPr="00AB7E93" w:rsidRDefault="00062A89" w:rsidP="00AB7E93">
      <w:pPr>
        <w:pStyle w:val="berschrift2"/>
        <w:tabs>
          <w:tab w:val="clear" w:pos="1021"/>
          <w:tab w:val="num" w:pos="709"/>
        </w:tabs>
        <w:spacing w:before="120"/>
        <w:ind w:left="709" w:hanging="709"/>
        <w:rPr>
          <w:b w:val="0"/>
          <w:sz w:val="20"/>
          <w:lang w:val="de-DE"/>
        </w:rPr>
      </w:pPr>
      <w:r w:rsidRPr="00AB7E93">
        <w:rPr>
          <w:b w:val="0"/>
          <w:sz w:val="20"/>
          <w:lang w:val="de-DE"/>
        </w:rPr>
        <w:t xml:space="preserve">Die Punkte 4.1 bis 4.5. gelten für Konferenzen mit </w:t>
      </w:r>
      <w:proofErr w:type="gramStart"/>
      <w:r w:rsidRPr="00AB7E93">
        <w:rPr>
          <w:b w:val="0"/>
          <w:sz w:val="20"/>
          <w:lang w:val="de-DE"/>
        </w:rPr>
        <w:t>persönlicher Anwesenheit</w:t>
      </w:r>
      <w:proofErr w:type="gramEnd"/>
      <w:r w:rsidRPr="00AB7E93">
        <w:rPr>
          <w:b w:val="0"/>
          <w:sz w:val="20"/>
          <w:lang w:val="de-DE"/>
        </w:rPr>
        <w:t xml:space="preserve"> oder gebührenpflichtige Web-Konferenzen. </w:t>
      </w:r>
    </w:p>
    <w:p w14:paraId="163FA2CE" w14:textId="77777777" w:rsidR="00EF4987" w:rsidRPr="00032B07" w:rsidRDefault="00EF4987" w:rsidP="00646163">
      <w:pPr>
        <w:pStyle w:val="berschrift1"/>
        <w:pageBreakBefore w:val="0"/>
        <w:numPr>
          <w:ilvl w:val="0"/>
          <w:numId w:val="4"/>
        </w:numPr>
        <w:spacing w:before="360" w:after="0"/>
        <w:rPr>
          <w:sz w:val="22"/>
        </w:rPr>
      </w:pPr>
      <w:r w:rsidRPr="00032B07">
        <w:rPr>
          <w:sz w:val="22"/>
        </w:rPr>
        <w:t>Ausfall</w:t>
      </w:r>
    </w:p>
    <w:p w14:paraId="22557934" w14:textId="77777777" w:rsidR="00EF4987" w:rsidRPr="00A4085B" w:rsidRDefault="00EF4987" w:rsidP="00A4085B">
      <w:pPr>
        <w:pStyle w:val="berschrift2"/>
        <w:tabs>
          <w:tab w:val="clear" w:pos="1021"/>
          <w:tab w:val="num" w:pos="709"/>
        </w:tabs>
        <w:spacing w:before="120"/>
        <w:ind w:left="709" w:hanging="709"/>
        <w:rPr>
          <w:b w:val="0"/>
          <w:sz w:val="20"/>
          <w:lang w:val="de-DE"/>
        </w:rPr>
      </w:pPr>
      <w:r w:rsidRPr="00A4085B">
        <w:rPr>
          <w:b w:val="0"/>
          <w:sz w:val="20"/>
          <w:lang w:val="de-DE"/>
        </w:rPr>
        <w:t>Unregelmäßige Teilnahme an der Veranstaltung entbindet nicht von der vollständigen Zahlung der Teilnahmegebühr, d.h. sollte Ihrerseits ein Vortrag nicht wahrgenommen werden können, ist keine Rückerstattung möglich. Sollte durch ein Verschulden unsererseits eine Veranstaltung nicht stattfinden, dann erhalten Sie die gesamte Gebühr selbstverständlich zurückerstattet.</w:t>
      </w:r>
    </w:p>
    <w:p w14:paraId="4417747E" w14:textId="77777777" w:rsidR="00EF4987" w:rsidRPr="00032B07" w:rsidRDefault="00EF4987" w:rsidP="00646163">
      <w:pPr>
        <w:pStyle w:val="berschrift1"/>
        <w:pageBreakBefore w:val="0"/>
        <w:numPr>
          <w:ilvl w:val="0"/>
          <w:numId w:val="4"/>
        </w:numPr>
        <w:spacing w:before="360" w:after="0"/>
        <w:rPr>
          <w:sz w:val="22"/>
        </w:rPr>
      </w:pPr>
      <w:r w:rsidRPr="00032B07">
        <w:rPr>
          <w:sz w:val="22"/>
        </w:rPr>
        <w:t>Sonstiges</w:t>
      </w:r>
    </w:p>
    <w:p w14:paraId="52DCCCE1" w14:textId="2C9A7606" w:rsidR="00EF4987" w:rsidRPr="00032B07" w:rsidRDefault="00EF4987" w:rsidP="00EF4987">
      <w:pPr>
        <w:pStyle w:val="berschrift2"/>
        <w:tabs>
          <w:tab w:val="clear" w:pos="1021"/>
          <w:tab w:val="num" w:pos="709"/>
        </w:tabs>
        <w:spacing w:before="120"/>
        <w:ind w:left="709" w:hanging="709"/>
        <w:rPr>
          <w:b w:val="0"/>
          <w:sz w:val="20"/>
          <w:lang w:val="de-DE"/>
        </w:rPr>
      </w:pPr>
      <w:r w:rsidRPr="00032B07">
        <w:rPr>
          <w:b w:val="0"/>
          <w:sz w:val="20"/>
          <w:lang w:val="de-DE"/>
        </w:rPr>
        <w:t>SBR</w:t>
      </w:r>
      <w:r w:rsidR="00BB5579">
        <w:rPr>
          <w:b w:val="0"/>
          <w:sz w:val="20"/>
          <w:lang w:val="de-DE"/>
        </w:rPr>
        <w:t>-</w:t>
      </w:r>
      <w:r w:rsidR="00646163" w:rsidRPr="00646163">
        <w:rPr>
          <w:b w:val="0"/>
          <w:sz w:val="20"/>
          <w:lang w:val="de-DE"/>
        </w:rPr>
        <w:t>net Consulting AG</w:t>
      </w:r>
      <w:r w:rsidRPr="00032B07">
        <w:rPr>
          <w:b w:val="0"/>
          <w:sz w:val="20"/>
          <w:lang w:val="de-DE"/>
        </w:rPr>
        <w:t xml:space="preserve"> behält sich vor, in Ausnahmefällen notwendige Änderungen des Veranstaltungsprogramms, des Veranstaltungstermins, der Referenten sowie des </w:t>
      </w:r>
      <w:r w:rsidRPr="00032B07">
        <w:rPr>
          <w:b w:val="0"/>
          <w:sz w:val="20"/>
          <w:lang w:val="de-DE"/>
        </w:rPr>
        <w:lastRenderedPageBreak/>
        <w:t>Veranstaltungsorts vorzunehmen. Für die Richtigkeit der in den Veranstaltungen von Referenten gemachten Aussagen übernimmt SBR</w:t>
      </w:r>
      <w:r w:rsidR="00E45D68">
        <w:rPr>
          <w:b w:val="0"/>
          <w:sz w:val="20"/>
          <w:lang w:val="de-DE"/>
        </w:rPr>
        <w:t>-net Consulting AG</w:t>
      </w:r>
      <w:r w:rsidRPr="00032B07">
        <w:rPr>
          <w:b w:val="0"/>
          <w:sz w:val="20"/>
          <w:lang w:val="de-DE"/>
        </w:rPr>
        <w:t xml:space="preserve"> kei</w:t>
      </w:r>
      <w:r>
        <w:rPr>
          <w:b w:val="0"/>
          <w:sz w:val="20"/>
          <w:lang w:val="de-DE"/>
        </w:rPr>
        <w:t>ne Haftung bzw. Gewährleistung.</w:t>
      </w:r>
    </w:p>
    <w:p w14:paraId="7BACBC09" w14:textId="359755E6" w:rsidR="00EF4987" w:rsidRPr="00032B07" w:rsidRDefault="00EF4987" w:rsidP="00EF4987">
      <w:pPr>
        <w:pStyle w:val="berschrift2"/>
        <w:tabs>
          <w:tab w:val="clear" w:pos="1021"/>
          <w:tab w:val="num" w:pos="709"/>
        </w:tabs>
        <w:spacing w:before="120"/>
        <w:ind w:left="709" w:hanging="709"/>
        <w:rPr>
          <w:b w:val="0"/>
          <w:sz w:val="20"/>
          <w:lang w:val="de-DE"/>
        </w:rPr>
      </w:pPr>
      <w:r w:rsidRPr="00032B07">
        <w:rPr>
          <w:b w:val="0"/>
          <w:sz w:val="20"/>
          <w:lang w:val="de-DE"/>
        </w:rPr>
        <w:t xml:space="preserve">Allfällige Unterlagen, die bei der Veranstaltung zur Verfügung gestellt werden, sind urheberrechtlich geschützt und dürfen nicht (auch nicht auszugsweise) ohne Einwilligung seitens </w:t>
      </w:r>
      <w:r w:rsidR="00646163" w:rsidRPr="00646163">
        <w:rPr>
          <w:b w:val="0"/>
          <w:sz w:val="20"/>
          <w:lang w:val="de-DE"/>
        </w:rPr>
        <w:t>SBR-net Consulting AG</w:t>
      </w:r>
      <w:r w:rsidR="00646163" w:rsidRPr="00646163" w:rsidDel="00646163">
        <w:rPr>
          <w:b w:val="0"/>
          <w:sz w:val="20"/>
          <w:lang w:val="de-DE"/>
        </w:rPr>
        <w:t xml:space="preserve"> </w:t>
      </w:r>
      <w:r w:rsidRPr="00032B07">
        <w:rPr>
          <w:b w:val="0"/>
          <w:sz w:val="20"/>
          <w:lang w:val="de-DE"/>
        </w:rPr>
        <w:t xml:space="preserve">und des jeweiligen Referenten vervielfältigt </w:t>
      </w:r>
      <w:r>
        <w:rPr>
          <w:b w:val="0"/>
          <w:sz w:val="20"/>
          <w:lang w:val="de-DE"/>
        </w:rPr>
        <w:t>oder gewerblich genutzt werden.</w:t>
      </w:r>
    </w:p>
    <w:p w14:paraId="2CB69F7B" w14:textId="1A7F817A" w:rsidR="00EF4987" w:rsidRDefault="00646163" w:rsidP="00EF4987">
      <w:pPr>
        <w:pStyle w:val="berschrift2"/>
        <w:tabs>
          <w:tab w:val="clear" w:pos="1021"/>
          <w:tab w:val="num" w:pos="709"/>
        </w:tabs>
        <w:spacing w:before="120"/>
        <w:ind w:left="709" w:hanging="709"/>
        <w:rPr>
          <w:b w:val="0"/>
          <w:sz w:val="20"/>
          <w:lang w:val="de-DE"/>
        </w:rPr>
      </w:pPr>
      <w:r w:rsidRPr="00646163">
        <w:rPr>
          <w:b w:val="0"/>
          <w:sz w:val="20"/>
          <w:lang w:val="de-DE"/>
        </w:rPr>
        <w:t>SBR-net Consulting AG</w:t>
      </w:r>
      <w:r w:rsidRPr="00646163" w:rsidDel="00646163">
        <w:rPr>
          <w:b w:val="0"/>
          <w:sz w:val="20"/>
          <w:lang w:val="de-DE"/>
        </w:rPr>
        <w:t xml:space="preserve"> </w:t>
      </w:r>
      <w:r w:rsidR="00EF4987" w:rsidRPr="00032B07">
        <w:rPr>
          <w:b w:val="0"/>
          <w:sz w:val="20"/>
          <w:lang w:val="de-DE"/>
        </w:rPr>
        <w:t xml:space="preserve">haftet – soweit gesetzlich zulässig – nicht für Verluste oder Beschädigung mitgebrachter Gegenstände und Wertsachen der Teilnehmer, es sei denn, dies ist auf ein grob fahrlässiges Verhalten von SBR-Mitarbeiter/innen zurückzuführen, wofür der Anspruchsteller nachweispflichtig ist. Für den Verlust oder die Beschädigung von Gegenständen, </w:t>
      </w:r>
      <w:proofErr w:type="gramStart"/>
      <w:r w:rsidR="00EF4987" w:rsidRPr="00032B07">
        <w:rPr>
          <w:b w:val="0"/>
          <w:sz w:val="20"/>
          <w:lang w:val="de-DE"/>
        </w:rPr>
        <w:t>die</w:t>
      </w:r>
      <w:proofErr w:type="gramEnd"/>
      <w:r w:rsidR="00EF4987" w:rsidRPr="00032B07">
        <w:rPr>
          <w:b w:val="0"/>
          <w:sz w:val="20"/>
          <w:lang w:val="de-DE"/>
        </w:rPr>
        <w:t xml:space="preserve"> während der Pausen im Vortragsraum verbleiben, haftet SBR</w:t>
      </w:r>
      <w:r w:rsidR="00E45D68">
        <w:rPr>
          <w:b w:val="0"/>
          <w:sz w:val="20"/>
          <w:lang w:val="de-DE"/>
        </w:rPr>
        <w:t>-net Consulting AG</w:t>
      </w:r>
      <w:r w:rsidR="00EF4987" w:rsidRPr="00032B07">
        <w:rPr>
          <w:b w:val="0"/>
          <w:sz w:val="20"/>
          <w:lang w:val="de-DE"/>
        </w:rPr>
        <w:t xml:space="preserve"> – soweit gesetzlich zulässig – in keinem Fall. Ferner wird – soweit gesetzlich zulässig – keine Haftung für Personenschäden übernommen, die sich in den Veranstaltungsräumlichkeiten, in den Pausenräumen und Gangflächen sowie Nebenräumen des Veranstaltungsanbieters SBR</w:t>
      </w:r>
      <w:r w:rsidR="00E45D68">
        <w:rPr>
          <w:b w:val="0"/>
          <w:sz w:val="20"/>
          <w:lang w:val="de-DE"/>
        </w:rPr>
        <w:t>-net Consulting AG</w:t>
      </w:r>
      <w:r w:rsidR="00EF4987" w:rsidRPr="00032B07">
        <w:rPr>
          <w:b w:val="0"/>
          <w:sz w:val="20"/>
          <w:lang w:val="de-DE"/>
        </w:rPr>
        <w:t xml:space="preserve"> sowie der von ihr für die Veranstaltungszwecke benutzten R</w:t>
      </w:r>
      <w:r w:rsidR="00EF4987">
        <w:rPr>
          <w:b w:val="0"/>
          <w:sz w:val="20"/>
          <w:lang w:val="de-DE"/>
        </w:rPr>
        <w:t>äumlichkeiten Dritter ereignen.</w:t>
      </w:r>
    </w:p>
    <w:p w14:paraId="2896E65C" w14:textId="4A81E5A0" w:rsidR="003B06BB" w:rsidRPr="003B06BB" w:rsidRDefault="003B06BB" w:rsidP="003B06BB">
      <w:pPr>
        <w:pStyle w:val="berschrift2"/>
        <w:tabs>
          <w:tab w:val="clear" w:pos="1021"/>
          <w:tab w:val="num" w:pos="709"/>
        </w:tabs>
        <w:spacing w:before="120"/>
        <w:ind w:left="709" w:hanging="709"/>
        <w:rPr>
          <w:b w:val="0"/>
          <w:sz w:val="20"/>
          <w:lang w:val="de-DE"/>
        </w:rPr>
      </w:pPr>
      <w:r w:rsidRPr="003B06BB">
        <w:rPr>
          <w:b w:val="0"/>
          <w:sz w:val="20"/>
          <w:lang w:val="de-DE"/>
        </w:rPr>
        <w:t>Von Veranstaltungen von SBR-net Consulting AG werden regelmäßig Bild- und Tonaufnahmen erstellt. Teilnehmer erklären sich damit einverstanden, dass Sie bei der Veranstaltung entsprechend aufgezeichnet werden können.</w:t>
      </w:r>
    </w:p>
    <w:p w14:paraId="25AF967F" w14:textId="77777777" w:rsidR="00451319" w:rsidRPr="00894981" w:rsidRDefault="00451319" w:rsidP="00894981">
      <w:pPr>
        <w:pStyle w:val="berschrift2"/>
        <w:tabs>
          <w:tab w:val="clear" w:pos="1021"/>
          <w:tab w:val="num" w:pos="709"/>
        </w:tabs>
        <w:spacing w:before="120"/>
        <w:ind w:left="709" w:hanging="709"/>
        <w:rPr>
          <w:sz w:val="20"/>
          <w:lang w:val="de-DE"/>
        </w:rPr>
      </w:pPr>
      <w:r w:rsidRPr="00894981">
        <w:rPr>
          <w:b w:val="0"/>
          <w:sz w:val="20"/>
          <w:lang w:val="de-DE"/>
        </w:rPr>
        <w:t>SBR-net Consulting AG, gegründet im Jahre 2004, ist im Bereich Unternehmensberatung tätig. An ihren beiden Standorten Düsseldorf und Wien bietet SBR-net Consulting AG kompetente Beratung im Bereich Telekommunikation, Internet, Breitband, Digitalisierung, Mobilfunk und Festnetz</w:t>
      </w:r>
      <w:r w:rsidR="00046474">
        <w:rPr>
          <w:b w:val="0"/>
          <w:sz w:val="20"/>
          <w:lang w:val="de-DE"/>
        </w:rPr>
        <w:t>,</w:t>
      </w:r>
      <w:r w:rsidRPr="00894981">
        <w:rPr>
          <w:b w:val="0"/>
          <w:sz w:val="20"/>
          <w:lang w:val="de-DE"/>
        </w:rPr>
        <w:t xml:space="preserve"> sowie weiteren regulierten Netzindustrien an. </w:t>
      </w:r>
    </w:p>
    <w:p w14:paraId="5C2D58C8" w14:textId="7A7171A2" w:rsidR="00451319" w:rsidRPr="00894981" w:rsidRDefault="00451319" w:rsidP="00894981">
      <w:pPr>
        <w:pStyle w:val="berschrift2"/>
        <w:tabs>
          <w:tab w:val="clear" w:pos="1021"/>
          <w:tab w:val="num" w:pos="709"/>
        </w:tabs>
        <w:spacing w:before="120"/>
        <w:ind w:left="709" w:hanging="709"/>
        <w:rPr>
          <w:sz w:val="20"/>
          <w:lang w:val="de-DE"/>
        </w:rPr>
      </w:pPr>
      <w:r w:rsidRPr="00894981">
        <w:rPr>
          <w:b w:val="0"/>
          <w:sz w:val="20"/>
          <w:lang w:val="de-DE"/>
        </w:rPr>
        <w:t xml:space="preserve">SBR-net Consulting AG wird die von Ihnen zur Verfügung gestellten Daten </w:t>
      </w:r>
      <w:r w:rsidR="00A4085B" w:rsidRPr="00894981">
        <w:rPr>
          <w:b w:val="0"/>
          <w:sz w:val="20"/>
          <w:lang w:val="de-DE"/>
        </w:rPr>
        <w:t>zu Namen</w:t>
      </w:r>
      <w:r w:rsidRPr="00894981">
        <w:rPr>
          <w:b w:val="0"/>
          <w:sz w:val="20"/>
          <w:lang w:val="de-DE"/>
        </w:rPr>
        <w:t>, Adresse, Kontaktinformationen (E-Mail, Telefonnummer) zum Zwecke der Rechnungslegung und Kundenbetreuung auf</w:t>
      </w:r>
      <w:r>
        <w:rPr>
          <w:b w:val="0"/>
          <w:sz w:val="20"/>
          <w:lang w:val="de-DE"/>
        </w:rPr>
        <w:t>n</w:t>
      </w:r>
      <w:r w:rsidRPr="00894981">
        <w:rPr>
          <w:b w:val="0"/>
          <w:sz w:val="20"/>
          <w:lang w:val="de-DE"/>
        </w:rPr>
        <w:t xml:space="preserve">ehmen. Dies ist zwecks Vertragserfüllung </w:t>
      </w:r>
      <w:r>
        <w:rPr>
          <w:b w:val="0"/>
          <w:sz w:val="20"/>
          <w:lang w:val="de-DE"/>
        </w:rPr>
        <w:t xml:space="preserve">und Administration </w:t>
      </w:r>
      <w:r w:rsidRPr="00894981">
        <w:rPr>
          <w:b w:val="0"/>
          <w:sz w:val="20"/>
          <w:lang w:val="de-DE"/>
        </w:rPr>
        <w:t>erforderlich.</w:t>
      </w:r>
    </w:p>
    <w:p w14:paraId="52B3D7E8" w14:textId="4A1E39C0" w:rsidR="00451319" w:rsidRPr="00894981" w:rsidRDefault="00451319" w:rsidP="00894981">
      <w:pPr>
        <w:pStyle w:val="berschrift2"/>
        <w:tabs>
          <w:tab w:val="clear" w:pos="1021"/>
          <w:tab w:val="num" w:pos="709"/>
        </w:tabs>
        <w:spacing w:before="120"/>
        <w:ind w:left="709" w:hanging="709"/>
        <w:rPr>
          <w:sz w:val="20"/>
          <w:lang w:val="de-DE"/>
        </w:rPr>
      </w:pPr>
      <w:r w:rsidRPr="00894981">
        <w:rPr>
          <w:b w:val="0"/>
          <w:sz w:val="20"/>
          <w:lang w:val="de-DE"/>
        </w:rPr>
        <w:t>Es werden Ihre angegebenen Daten zwecks Erfüllung des geschlossenen Vertrages bzw. zwecks Administration Ihrer Teilnahme an einer von SBR-net Consulting AG organisierten Veranstaltung und für den Fall von Anschlussfragen</w:t>
      </w:r>
      <w:r w:rsidR="00046474">
        <w:rPr>
          <w:b w:val="0"/>
          <w:sz w:val="20"/>
          <w:lang w:val="de-DE"/>
        </w:rPr>
        <w:t>,</w:t>
      </w:r>
      <w:r w:rsidRPr="00894981">
        <w:rPr>
          <w:b w:val="0"/>
          <w:sz w:val="20"/>
          <w:lang w:val="de-DE"/>
        </w:rPr>
        <w:t xml:space="preserve"> sechs Monate bei SBR-net Consulting AG gespeichert. </w:t>
      </w:r>
      <w:r w:rsidR="00EB7C91" w:rsidRPr="00CE7063">
        <w:rPr>
          <w:b w:val="0"/>
          <w:sz w:val="20"/>
          <w:lang w:val="de-DE"/>
        </w:rPr>
        <w:t xml:space="preserve">Eine Weitergabe der Daten unter den gleichen Bedingungen an Co-Referenten / </w:t>
      </w:r>
      <w:r w:rsidR="00EB7C91" w:rsidRPr="00CE7063">
        <w:rPr>
          <w:b w:val="0"/>
          <w:sz w:val="20"/>
          <w:lang w:val="de-DE"/>
        </w:rPr>
        <w:lastRenderedPageBreak/>
        <w:t>Co-Veranstalter von </w:t>
      </w:r>
      <w:r w:rsidR="00614292">
        <w:rPr>
          <w:b w:val="0"/>
          <w:sz w:val="20"/>
          <w:lang w:val="de-DE"/>
        </w:rPr>
        <w:t xml:space="preserve">Konferenzen, </w:t>
      </w:r>
      <w:r w:rsidR="00EB7C91" w:rsidRPr="00CE7063">
        <w:rPr>
          <w:b w:val="0"/>
          <w:sz w:val="20"/>
          <w:lang w:val="de-DE"/>
        </w:rPr>
        <w:t>Web-Konferenzen und Webinaren ist zulässig. Darüber</w:t>
      </w:r>
      <w:r w:rsidR="00614292">
        <w:rPr>
          <w:b w:val="0"/>
          <w:sz w:val="20"/>
          <w:lang w:val="de-DE"/>
        </w:rPr>
        <w:t xml:space="preserve"> </w:t>
      </w:r>
      <w:r w:rsidR="00EB7C91" w:rsidRPr="00CE7063">
        <w:rPr>
          <w:b w:val="0"/>
          <w:sz w:val="20"/>
          <w:lang w:val="de-DE"/>
        </w:rPr>
        <w:t>hinaus gibt SBR-net Consulting AG Ihre Daten nicht ohne Ihre Einwilligung weiter.</w:t>
      </w:r>
      <w:r w:rsidRPr="00894981">
        <w:rPr>
          <w:b w:val="0"/>
          <w:sz w:val="20"/>
          <w:lang w:val="de-DE"/>
        </w:rPr>
        <w:t xml:space="preserve"> </w:t>
      </w:r>
    </w:p>
    <w:p w14:paraId="586EC4A8" w14:textId="77777777" w:rsidR="00451319" w:rsidRDefault="00451319" w:rsidP="00451319">
      <w:pPr>
        <w:pStyle w:val="berschrift2"/>
        <w:tabs>
          <w:tab w:val="clear" w:pos="1021"/>
          <w:tab w:val="num" w:pos="709"/>
        </w:tabs>
        <w:spacing w:before="120"/>
        <w:ind w:left="709" w:hanging="709"/>
        <w:rPr>
          <w:b w:val="0"/>
          <w:sz w:val="20"/>
          <w:lang w:val="de-DE"/>
        </w:rPr>
      </w:pPr>
      <w:r w:rsidRPr="00894981">
        <w:rPr>
          <w:b w:val="0"/>
          <w:sz w:val="20"/>
          <w:lang w:val="de-DE"/>
        </w:rPr>
        <w:t xml:space="preserve">Es bestehen grundsätzlich die Rechte auf Auskunft, Berichtigung, Löschung, Einschränkung, Datenübertragbarkeit, Widerruf und Widerspruch. Wenn Sie </w:t>
      </w:r>
      <w:r w:rsidR="00046474">
        <w:rPr>
          <w:b w:val="0"/>
          <w:sz w:val="20"/>
          <w:lang w:val="de-DE"/>
        </w:rPr>
        <w:t>meinen</w:t>
      </w:r>
      <w:r w:rsidRPr="00894981">
        <w:rPr>
          <w:b w:val="0"/>
          <w:sz w:val="20"/>
          <w:lang w:val="de-DE"/>
        </w:rPr>
        <w:t>, dass die Verarbeitung Ihrer Daten gegen das Datenschutzrecht verstößt</w:t>
      </w:r>
      <w:r w:rsidR="00046474">
        <w:rPr>
          <w:b w:val="0"/>
          <w:sz w:val="20"/>
          <w:lang w:val="de-DE"/>
        </w:rPr>
        <w:t>,</w:t>
      </w:r>
      <w:r w:rsidRPr="00894981">
        <w:rPr>
          <w:b w:val="0"/>
          <w:sz w:val="20"/>
          <w:lang w:val="de-DE"/>
        </w:rPr>
        <w:t xml:space="preserve"> oder Ihre datenschutzrechtlichen Ansprüche sonst in einer Weise verletzt worden sind, können Sie sich </w:t>
      </w:r>
      <w:r w:rsidR="00046474">
        <w:rPr>
          <w:b w:val="0"/>
          <w:sz w:val="20"/>
          <w:lang w:val="de-DE"/>
        </w:rPr>
        <w:t>an die</w:t>
      </w:r>
      <w:r w:rsidRPr="00894981">
        <w:rPr>
          <w:b w:val="0"/>
          <w:sz w:val="20"/>
          <w:lang w:val="de-DE"/>
        </w:rPr>
        <w:t xml:space="preserve"> Aufsichtsbehörde </w:t>
      </w:r>
      <w:r>
        <w:rPr>
          <w:b w:val="0"/>
          <w:sz w:val="20"/>
          <w:lang w:val="de-DE"/>
        </w:rPr>
        <w:t>(</w:t>
      </w:r>
      <w:r w:rsidRPr="00894981">
        <w:rPr>
          <w:b w:val="0"/>
          <w:sz w:val="20"/>
          <w:lang w:val="de-DE"/>
        </w:rPr>
        <w:t>die Datenschutzbehörden der Länder sowie die Bundesbeauftragte für den Datenschutz</w:t>
      </w:r>
      <w:r>
        <w:rPr>
          <w:b w:val="0"/>
          <w:sz w:val="20"/>
          <w:lang w:val="de-DE"/>
        </w:rPr>
        <w:t>)</w:t>
      </w:r>
      <w:r w:rsidRPr="00451319">
        <w:rPr>
          <w:b w:val="0"/>
          <w:sz w:val="20"/>
          <w:lang w:val="de-DE"/>
        </w:rPr>
        <w:t xml:space="preserve"> </w:t>
      </w:r>
      <w:r w:rsidR="00046474">
        <w:rPr>
          <w:b w:val="0"/>
          <w:sz w:val="20"/>
          <w:lang w:val="de-DE"/>
        </w:rPr>
        <w:t>wenden</w:t>
      </w:r>
      <w:r>
        <w:rPr>
          <w:b w:val="0"/>
          <w:sz w:val="20"/>
          <w:lang w:val="de-DE"/>
        </w:rPr>
        <w:t>.</w:t>
      </w:r>
    </w:p>
    <w:p w14:paraId="0A0557ED" w14:textId="77777777" w:rsidR="00AB7E93" w:rsidRDefault="00451319" w:rsidP="00451319">
      <w:pPr>
        <w:pStyle w:val="berschrift2"/>
        <w:tabs>
          <w:tab w:val="clear" w:pos="1021"/>
          <w:tab w:val="num" w:pos="709"/>
        </w:tabs>
        <w:spacing w:before="120"/>
        <w:ind w:left="709" w:hanging="709"/>
        <w:rPr>
          <w:b w:val="0"/>
          <w:sz w:val="20"/>
          <w:lang w:val="de-DE"/>
        </w:rPr>
      </w:pPr>
      <w:r w:rsidRPr="00894981">
        <w:rPr>
          <w:b w:val="0"/>
          <w:sz w:val="20"/>
          <w:lang w:val="de-DE"/>
        </w:rPr>
        <w:t>Auskunftsperson nach dem Datenschutzrecht:</w:t>
      </w:r>
    </w:p>
    <w:p w14:paraId="2C7B5805" w14:textId="75AB9928" w:rsidR="00451319" w:rsidRPr="00451319" w:rsidRDefault="00451319" w:rsidP="00AB7E93">
      <w:pPr>
        <w:pStyle w:val="berschrift2"/>
        <w:numPr>
          <w:ilvl w:val="0"/>
          <w:numId w:val="0"/>
        </w:numPr>
        <w:spacing w:before="120"/>
        <w:ind w:left="709"/>
        <w:rPr>
          <w:b w:val="0"/>
          <w:sz w:val="20"/>
          <w:lang w:val="de-DE"/>
        </w:rPr>
      </w:pPr>
      <w:r w:rsidRPr="00894981">
        <w:rPr>
          <w:b w:val="0"/>
          <w:sz w:val="20"/>
          <w:lang w:val="de-DE"/>
        </w:rPr>
        <w:t xml:space="preserve">Dr. Natascha </w:t>
      </w:r>
      <w:r w:rsidR="00A4295E">
        <w:rPr>
          <w:b w:val="0"/>
          <w:sz w:val="20"/>
          <w:lang w:val="de-DE"/>
        </w:rPr>
        <w:t xml:space="preserve">Nina </w:t>
      </w:r>
      <w:r w:rsidRPr="00894981">
        <w:rPr>
          <w:b w:val="0"/>
          <w:sz w:val="20"/>
          <w:lang w:val="de-DE"/>
        </w:rPr>
        <w:t>Freund, LL.M. – freund@sbr-net.com sowie</w:t>
      </w:r>
      <w:r w:rsidR="00046474">
        <w:rPr>
          <w:b w:val="0"/>
          <w:sz w:val="20"/>
          <w:lang w:val="de-DE"/>
        </w:rPr>
        <w:t xml:space="preserve"> telefonisch</w:t>
      </w:r>
      <w:r w:rsidRPr="00894981">
        <w:rPr>
          <w:b w:val="0"/>
          <w:sz w:val="20"/>
          <w:lang w:val="de-DE"/>
        </w:rPr>
        <w:t xml:space="preserve"> unter </w:t>
      </w:r>
      <w:r w:rsidR="00046474">
        <w:rPr>
          <w:b w:val="0"/>
          <w:sz w:val="20"/>
          <w:lang w:val="de-DE"/>
        </w:rPr>
        <w:t>+</w:t>
      </w:r>
      <w:r w:rsidR="00046474" w:rsidRPr="00894981">
        <w:rPr>
          <w:b w:val="0"/>
          <w:sz w:val="20"/>
          <w:lang w:val="de-DE"/>
        </w:rPr>
        <w:t xml:space="preserve">43 </w:t>
      </w:r>
      <w:r w:rsidRPr="00894981">
        <w:rPr>
          <w:b w:val="0"/>
          <w:sz w:val="20"/>
          <w:lang w:val="de-DE"/>
        </w:rPr>
        <w:t xml:space="preserve">1 513514080 </w:t>
      </w:r>
      <w:r w:rsidR="00046474">
        <w:rPr>
          <w:b w:val="0"/>
          <w:sz w:val="20"/>
          <w:lang w:val="de-DE"/>
        </w:rPr>
        <w:t>bzw.</w:t>
      </w:r>
      <w:r w:rsidR="00046474" w:rsidRPr="00894981">
        <w:rPr>
          <w:b w:val="0"/>
          <w:sz w:val="20"/>
          <w:lang w:val="de-DE"/>
        </w:rPr>
        <w:t xml:space="preserve"> </w:t>
      </w:r>
      <w:r w:rsidR="00046474">
        <w:rPr>
          <w:b w:val="0"/>
          <w:sz w:val="20"/>
          <w:lang w:val="de-DE"/>
        </w:rPr>
        <w:t>+</w:t>
      </w:r>
      <w:r w:rsidR="00046474" w:rsidRPr="00894981">
        <w:rPr>
          <w:b w:val="0"/>
          <w:sz w:val="20"/>
          <w:lang w:val="de-DE"/>
        </w:rPr>
        <w:t xml:space="preserve">49 </w:t>
      </w:r>
      <w:r w:rsidRPr="00894981">
        <w:rPr>
          <w:b w:val="0"/>
          <w:sz w:val="20"/>
          <w:lang w:val="de-DE"/>
        </w:rPr>
        <w:t>211 687888-0</w:t>
      </w:r>
    </w:p>
    <w:p w14:paraId="12EC7C61" w14:textId="77777777" w:rsidR="00FC0E9D" w:rsidRPr="00EF4987" w:rsidRDefault="00FC0E9D" w:rsidP="00FC0E9D">
      <w:pPr>
        <w:spacing w:before="120"/>
        <w:rPr>
          <w:lang w:val="de-DE"/>
        </w:rPr>
      </w:pPr>
    </w:p>
    <w:sectPr w:rsidR="00FC0E9D" w:rsidRPr="00EF4987">
      <w:headerReference w:type="default" r:id="rId9"/>
      <w:footerReference w:type="default" r:id="rId10"/>
      <w:headerReference w:type="first" r:id="rId11"/>
      <w:footerReference w:type="first" r:id="rId12"/>
      <w:pgSz w:w="11907" w:h="16840" w:code="9"/>
      <w:pgMar w:top="1985" w:right="1418" w:bottom="1985" w:left="141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7A0C" w14:textId="77777777" w:rsidR="0013212E" w:rsidRDefault="0013212E">
      <w:r>
        <w:separator/>
      </w:r>
    </w:p>
  </w:endnote>
  <w:endnote w:type="continuationSeparator" w:id="0">
    <w:p w14:paraId="342AB381" w14:textId="77777777" w:rsidR="0013212E" w:rsidRDefault="0013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C943" w14:textId="344FE25C" w:rsidR="0046338A" w:rsidRDefault="0046338A">
    <w:pPr>
      <w:pStyle w:val="Fuzeile"/>
      <w:rPr>
        <w:sz w:val="17"/>
      </w:rPr>
    </w:pPr>
    <w:r>
      <w:rPr>
        <w:rStyle w:val="Seitenzahl"/>
        <w:sz w:val="17"/>
      </w:rPr>
      <w:fldChar w:fldCharType="begin"/>
    </w:r>
    <w:r>
      <w:rPr>
        <w:rStyle w:val="Seitenzahl"/>
        <w:sz w:val="17"/>
      </w:rPr>
      <w:instrText xml:space="preserve"> PAGE </w:instrText>
    </w:r>
    <w:r>
      <w:rPr>
        <w:rStyle w:val="Seitenzahl"/>
        <w:sz w:val="17"/>
      </w:rPr>
      <w:fldChar w:fldCharType="separate"/>
    </w:r>
    <w:r w:rsidR="003B06BB">
      <w:rPr>
        <w:rStyle w:val="Seitenzahl"/>
        <w:noProof/>
        <w:sz w:val="17"/>
      </w:rPr>
      <w:t>4</w:t>
    </w:r>
    <w:r>
      <w:rPr>
        <w:rStyle w:val="Seitenzahl"/>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BB02" w14:textId="25FD92DF" w:rsidR="000946B7" w:rsidRDefault="00CA60F1" w:rsidP="000946B7">
    <w:pPr>
      <w:pStyle w:val="Firmenangaben2"/>
      <w:jc w:val="center"/>
    </w:pPr>
    <w:r>
      <w:t xml:space="preserve">Regelmäßige Infos zu Veranstaltungen und interessanten Themen: </w:t>
    </w:r>
    <w:r w:rsidR="000946B7">
      <w:t>Registrierung unter www.sbr-netconsulting.com</w:t>
    </w:r>
  </w:p>
  <w:p w14:paraId="70E7254C" w14:textId="7D057FB2" w:rsidR="000946B7" w:rsidRDefault="000946B7" w:rsidP="000946B7">
    <w:pPr>
      <w:pStyle w:val="Firmenangaben2"/>
      <w:jc w:val="center"/>
    </w:pPr>
    <w:r>
      <w:t>Vorstand: Dr. Ernst-Olav Ruhle | Aufsichtsratsvorsitz: Dr. Natascha</w:t>
    </w:r>
    <w:r w:rsidR="003B06BB">
      <w:t xml:space="preserve"> </w:t>
    </w:r>
    <w:r w:rsidR="00A4295E">
      <w:t>Nina</w:t>
    </w:r>
    <w:r>
      <w:t xml:space="preserve"> Freund, LL.M</w:t>
    </w:r>
  </w:p>
  <w:p w14:paraId="6E8ED230" w14:textId="72BBA389" w:rsidR="0046338A" w:rsidRPr="00451319" w:rsidRDefault="0046338A" w:rsidP="000946B7">
    <w:pPr>
      <w:pStyle w:val="Firmenangaben2"/>
      <w:jc w:val="center"/>
      <w:rPr>
        <w:iCs/>
      </w:rPr>
    </w:pPr>
  </w:p>
  <w:p w14:paraId="782265C2" w14:textId="5700C72C" w:rsidR="0046338A" w:rsidRPr="00451319" w:rsidRDefault="0046338A">
    <w:pPr>
      <w:pStyle w:val="Firmenangaben2"/>
      <w:tabs>
        <w:tab w:val="right" w:pos="9072"/>
      </w:tabs>
      <w:spacing w:before="120"/>
      <w:rPr>
        <w:szCs w:val="17"/>
      </w:rPr>
    </w:pPr>
    <w:r>
      <w:rPr>
        <w:sz w:val="12"/>
        <w:szCs w:val="12"/>
      </w:rPr>
      <w:fldChar w:fldCharType="begin"/>
    </w:r>
    <w:r w:rsidRPr="00451319">
      <w:rPr>
        <w:sz w:val="12"/>
        <w:szCs w:val="12"/>
      </w:rPr>
      <w:instrText xml:space="preserve"> FILENAME </w:instrText>
    </w:r>
    <w:r>
      <w:rPr>
        <w:sz w:val="12"/>
        <w:szCs w:val="12"/>
      </w:rPr>
      <w:fldChar w:fldCharType="separate"/>
    </w:r>
    <w:r w:rsidR="0045449E">
      <w:rPr>
        <w:noProof/>
        <w:sz w:val="12"/>
        <w:szCs w:val="12"/>
      </w:rPr>
      <w:t>230214-Anmeldeformular_ SBR_Veranstaltungen.docx</w:t>
    </w:r>
    <w:r>
      <w:rPr>
        <w:sz w:val="12"/>
        <w:szCs w:val="12"/>
      </w:rPr>
      <w:fldChar w:fldCharType="end"/>
    </w:r>
    <w:r w:rsidR="008D7665" w:rsidRPr="00451319">
      <w:rPr>
        <w:szCs w:val="17"/>
      </w:rPr>
      <w:t xml:space="preserve"> </w:t>
    </w:r>
    <w:r w:rsidRPr="00451319">
      <w:rPr>
        <w:szCs w:val="17"/>
      </w:rPr>
      <w:tab/>
    </w:r>
    <w:r>
      <w:rPr>
        <w:rStyle w:val="Seitenzahl"/>
        <w:sz w:val="17"/>
        <w:szCs w:val="17"/>
      </w:rPr>
      <w:fldChar w:fldCharType="begin"/>
    </w:r>
    <w:r w:rsidRPr="00451319">
      <w:rPr>
        <w:rStyle w:val="Seitenzahl"/>
        <w:sz w:val="17"/>
        <w:szCs w:val="17"/>
      </w:rPr>
      <w:instrText xml:space="preserve"> PAGE </w:instrText>
    </w:r>
    <w:r>
      <w:rPr>
        <w:rStyle w:val="Seitenzahl"/>
        <w:sz w:val="17"/>
        <w:szCs w:val="17"/>
      </w:rPr>
      <w:fldChar w:fldCharType="separate"/>
    </w:r>
    <w:r w:rsidR="003B06BB">
      <w:rPr>
        <w:rStyle w:val="Seitenzahl"/>
        <w:noProof/>
        <w:sz w:val="17"/>
        <w:szCs w:val="17"/>
      </w:rPr>
      <w:t>1</w:t>
    </w:r>
    <w:r>
      <w:rPr>
        <w:rStyle w:val="Seitenzahl"/>
        <w:sz w:val="17"/>
        <w:szCs w:val="17"/>
      </w:rPr>
      <w:fldChar w:fldCharType="end"/>
    </w:r>
    <w:r w:rsidRPr="00451319">
      <w:rPr>
        <w:rStyle w:val="Seitenzahl"/>
        <w:sz w:val="17"/>
        <w:szCs w:val="17"/>
      </w:rPr>
      <w:t>/</w:t>
    </w:r>
    <w:r>
      <w:rPr>
        <w:rStyle w:val="Seitenzahl"/>
        <w:sz w:val="17"/>
        <w:szCs w:val="17"/>
      </w:rPr>
      <w:fldChar w:fldCharType="begin"/>
    </w:r>
    <w:r w:rsidRPr="00451319">
      <w:rPr>
        <w:rStyle w:val="Seitenzahl"/>
        <w:sz w:val="17"/>
        <w:szCs w:val="17"/>
      </w:rPr>
      <w:instrText xml:space="preserve"> NUMPAGES </w:instrText>
    </w:r>
    <w:r>
      <w:rPr>
        <w:rStyle w:val="Seitenzahl"/>
        <w:sz w:val="17"/>
        <w:szCs w:val="17"/>
      </w:rPr>
      <w:fldChar w:fldCharType="separate"/>
    </w:r>
    <w:r w:rsidR="003B06BB">
      <w:rPr>
        <w:rStyle w:val="Seitenzahl"/>
        <w:noProof/>
        <w:sz w:val="17"/>
        <w:szCs w:val="17"/>
      </w:rPr>
      <w:t>4</w:t>
    </w:r>
    <w:r>
      <w:rPr>
        <w:rStyle w:val="Seitenzah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2219" w14:textId="77777777" w:rsidR="0013212E" w:rsidRDefault="0013212E">
      <w:r>
        <w:separator/>
      </w:r>
    </w:p>
  </w:footnote>
  <w:footnote w:type="continuationSeparator" w:id="0">
    <w:p w14:paraId="70C4C694" w14:textId="77777777" w:rsidR="0013212E" w:rsidRDefault="00132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F427" w14:textId="77777777" w:rsidR="0046338A" w:rsidRDefault="008E33E6">
    <w:pPr>
      <w:pStyle w:val="Kopfzeile"/>
      <w:jc w:val="right"/>
    </w:pPr>
    <w:r>
      <w:rPr>
        <w:rFonts w:cs="Arial"/>
        <w:szCs w:val="16"/>
      </w:rPr>
      <w:t xml:space="preserve">SBR-net </w:t>
    </w:r>
    <w:r w:rsidR="0046338A">
      <w:rPr>
        <w:rFonts w:cs="Arial"/>
        <w:szCs w:val="16"/>
      </w:rPr>
      <w:t>Consulting 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7A6" w14:textId="77777777" w:rsidR="0046338A" w:rsidRDefault="00BB6229">
    <w:r>
      <w:rPr>
        <w:noProof/>
        <w:lang w:val="de-DE"/>
      </w:rPr>
      <w:drawing>
        <wp:anchor distT="0" distB="0" distL="114300" distR="114300" simplePos="0" relativeHeight="251659264" behindDoc="0" locked="0" layoutInCell="1" allowOverlap="1" wp14:anchorId="62DB945B" wp14:editId="1CD74DF0">
          <wp:simplePos x="0" y="0"/>
          <wp:positionH relativeFrom="margin">
            <wp:posOffset>4144645</wp:posOffset>
          </wp:positionH>
          <wp:positionV relativeFrom="margin">
            <wp:posOffset>-887095</wp:posOffset>
          </wp:positionV>
          <wp:extent cx="1609090" cy="838200"/>
          <wp:effectExtent l="0" t="0" r="0" b="0"/>
          <wp:wrapSquare wrapText="bothSides"/>
          <wp:docPr id="3" name="Grafik 3" descr="P:\Vorlagen\LOGOS_SBR\SBR-net Consulting AG\SBR Logo_38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orlagen\LOGOS_SBR\SBR-net Consulting AG\SBR Logo_38 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DA0C97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ABE312C"/>
    <w:lvl w:ilvl="0">
      <w:start w:val="1"/>
      <w:numFmt w:val="decimal"/>
      <w:pStyle w:val="Aufzhlungszeichen4"/>
      <w:lvlText w:val="(%1)"/>
      <w:lvlJc w:val="left"/>
      <w:pPr>
        <w:tabs>
          <w:tab w:val="num" w:pos="1758"/>
        </w:tabs>
        <w:ind w:left="1758" w:hanging="397"/>
      </w:pPr>
      <w:rPr>
        <w:rFonts w:hint="default"/>
      </w:rPr>
    </w:lvl>
  </w:abstractNum>
  <w:abstractNum w:abstractNumId="2" w15:restartNumberingAfterBreak="0">
    <w:nsid w:val="FFFFFF82"/>
    <w:multiLevelType w:val="singleLevel"/>
    <w:tmpl w:val="DBD2C5FE"/>
    <w:lvl w:ilvl="0">
      <w:start w:val="1"/>
      <w:numFmt w:val="upperRoman"/>
      <w:pStyle w:val="Aufzhlungszeichen3"/>
      <w:lvlText w:val="%1."/>
      <w:lvlJc w:val="right"/>
      <w:pPr>
        <w:tabs>
          <w:tab w:val="num" w:pos="1361"/>
        </w:tabs>
        <w:ind w:left="1361" w:hanging="397"/>
      </w:pPr>
      <w:rPr>
        <w:rFonts w:hint="default"/>
      </w:rPr>
    </w:lvl>
  </w:abstractNum>
  <w:abstractNum w:abstractNumId="3" w15:restartNumberingAfterBreak="0">
    <w:nsid w:val="FFFFFF83"/>
    <w:multiLevelType w:val="singleLevel"/>
    <w:tmpl w:val="56AA0C78"/>
    <w:lvl w:ilvl="0">
      <w:start w:val="1"/>
      <w:numFmt w:val="lowerLetter"/>
      <w:pStyle w:val="Aufzhlungszeichen2"/>
      <w:lvlText w:val="%1)"/>
      <w:lvlJc w:val="left"/>
      <w:pPr>
        <w:tabs>
          <w:tab w:val="num" w:pos="964"/>
        </w:tabs>
        <w:ind w:left="964" w:hanging="397"/>
      </w:pPr>
      <w:rPr>
        <w:rFonts w:hint="default"/>
      </w:rPr>
    </w:lvl>
  </w:abstractNum>
  <w:abstractNum w:abstractNumId="4" w15:restartNumberingAfterBreak="0">
    <w:nsid w:val="FFFFFF89"/>
    <w:multiLevelType w:val="singleLevel"/>
    <w:tmpl w:val="FF3C404E"/>
    <w:lvl w:ilvl="0">
      <w:start w:val="1"/>
      <w:numFmt w:val="decimal"/>
      <w:pStyle w:val="Aufzhlungszeichen"/>
      <w:lvlText w:val="%1."/>
      <w:lvlJc w:val="left"/>
      <w:pPr>
        <w:tabs>
          <w:tab w:val="num" w:pos="567"/>
        </w:tabs>
        <w:ind w:left="567" w:hanging="454"/>
      </w:pPr>
      <w:rPr>
        <w:rFonts w:hint="default"/>
      </w:rPr>
    </w:lvl>
  </w:abstractNum>
  <w:abstractNum w:abstractNumId="5" w15:restartNumberingAfterBreak="0">
    <w:nsid w:val="0C012A71"/>
    <w:multiLevelType w:val="hybridMultilevel"/>
    <w:tmpl w:val="0528392A"/>
    <w:lvl w:ilvl="0" w:tplc="3AA2DABC">
      <w:start w:val="1"/>
      <w:numFmt w:val="bullet"/>
      <w:pStyle w:val="Liste3"/>
      <w:lvlText w:val=""/>
      <w:lvlJc w:val="left"/>
      <w:pPr>
        <w:tabs>
          <w:tab w:val="num" w:pos="1361"/>
        </w:tabs>
        <w:ind w:left="1361" w:hanging="39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C33F2"/>
    <w:multiLevelType w:val="multilevel"/>
    <w:tmpl w:val="953EFF42"/>
    <w:lvl w:ilvl="0">
      <w:start w:val="1"/>
      <w:numFmt w:val="decimal"/>
      <w:pStyle w:val="TabelleGliederung"/>
      <w:lvlText w:val="%1"/>
      <w:lvlJc w:val="left"/>
      <w:pPr>
        <w:tabs>
          <w:tab w:val="num" w:pos="567"/>
        </w:tabs>
        <w:ind w:left="567" w:hanging="567"/>
      </w:pPr>
      <w:rPr>
        <w:rFonts w:hint="default"/>
      </w:rPr>
    </w:lvl>
    <w:lvl w:ilvl="1">
      <w:start w:val="1"/>
      <w:numFmt w:val="decimal"/>
      <w:lvlText w:val="%1.%2"/>
      <w:lvlJc w:val="left"/>
      <w:pPr>
        <w:tabs>
          <w:tab w:val="num" w:pos="720"/>
        </w:tabs>
        <w:ind w:left="567" w:hanging="567"/>
      </w:pPr>
      <w:rPr>
        <w:rFonts w:hint="default"/>
      </w:rPr>
    </w:lvl>
    <w:lvl w:ilvl="2">
      <w:start w:val="1"/>
      <w:numFmt w:val="decimal"/>
      <w:lvlText w:val="%1.%2.%3"/>
      <w:lvlJc w:val="left"/>
      <w:pPr>
        <w:tabs>
          <w:tab w:val="num" w:pos="1080"/>
        </w:tabs>
        <w:ind w:left="567" w:hanging="567"/>
      </w:pPr>
      <w:rPr>
        <w:rFonts w:hint="default"/>
      </w:rPr>
    </w:lvl>
    <w:lvl w:ilvl="3">
      <w:start w:val="1"/>
      <w:numFmt w:val="decimal"/>
      <w:lvlText w:val="%1.%2.%3.%4"/>
      <w:lvlJc w:val="left"/>
      <w:pPr>
        <w:tabs>
          <w:tab w:val="num" w:pos="1440"/>
        </w:tabs>
        <w:ind w:left="680" w:hanging="680"/>
      </w:pPr>
      <w:rPr>
        <w:rFonts w:hint="default"/>
      </w:rPr>
    </w:lvl>
    <w:lvl w:ilvl="4">
      <w:start w:val="1"/>
      <w:numFmt w:val="decimal"/>
      <w:lvlText w:val="%1.%2.%3.%4.%5"/>
      <w:lvlJc w:val="left"/>
      <w:pPr>
        <w:tabs>
          <w:tab w:val="num" w:pos="2160"/>
        </w:tabs>
        <w:ind w:left="851" w:hanging="851"/>
      </w:pPr>
      <w:rPr>
        <w:rFonts w:hint="default"/>
      </w:rPr>
    </w:lvl>
    <w:lvl w:ilvl="5">
      <w:start w:val="1"/>
      <w:numFmt w:val="decimal"/>
      <w:lvlText w:val="%1.%2.%3.%4.%5.%6"/>
      <w:lvlJc w:val="left"/>
      <w:pPr>
        <w:tabs>
          <w:tab w:val="num" w:pos="2520"/>
        </w:tabs>
        <w:ind w:left="1021" w:hanging="1021"/>
      </w:pPr>
      <w:rPr>
        <w:rFonts w:hint="default"/>
      </w:rPr>
    </w:lvl>
    <w:lvl w:ilvl="6">
      <w:start w:val="1"/>
      <w:numFmt w:val="decimal"/>
      <w:lvlText w:val="%1.%2.%3.%4.%5.%6.%7"/>
      <w:lvlJc w:val="left"/>
      <w:pPr>
        <w:tabs>
          <w:tab w:val="num" w:pos="2880"/>
        </w:tabs>
        <w:ind w:left="1247" w:hanging="1247"/>
      </w:pPr>
      <w:rPr>
        <w:rFonts w:hint="default"/>
      </w:rPr>
    </w:lvl>
    <w:lvl w:ilvl="7">
      <w:start w:val="1"/>
      <w:numFmt w:val="decimal"/>
      <w:lvlText w:val="%1.%2.%3.%4.%5.%6.%7.%8"/>
      <w:lvlJc w:val="left"/>
      <w:pPr>
        <w:tabs>
          <w:tab w:val="num" w:pos="3240"/>
        </w:tabs>
        <w:ind w:left="1418" w:hanging="1418"/>
      </w:pPr>
      <w:rPr>
        <w:rFonts w:hint="default"/>
      </w:rPr>
    </w:lvl>
    <w:lvl w:ilvl="8">
      <w:start w:val="1"/>
      <w:numFmt w:val="decimal"/>
      <w:lvlText w:val="%1.%2.%3.%4.%5.%6.%7.%8.%9"/>
      <w:lvlJc w:val="left"/>
      <w:pPr>
        <w:tabs>
          <w:tab w:val="num" w:pos="3600"/>
        </w:tabs>
        <w:ind w:left="1588" w:hanging="1588"/>
      </w:pPr>
      <w:rPr>
        <w:rFonts w:hint="default"/>
      </w:rPr>
    </w:lvl>
  </w:abstractNum>
  <w:abstractNum w:abstractNumId="7" w15:restartNumberingAfterBreak="0">
    <w:nsid w:val="1C226EDB"/>
    <w:multiLevelType w:val="hybridMultilevel"/>
    <w:tmpl w:val="CB2E42B6"/>
    <w:lvl w:ilvl="0" w:tplc="F71474A8">
      <w:start w:val="1"/>
      <w:numFmt w:val="decimal"/>
      <w:lvlText w:val="%1.1"/>
      <w:lvlJc w:val="left"/>
      <w:pPr>
        <w:tabs>
          <w:tab w:val="num" w:pos="720"/>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24867BB"/>
    <w:multiLevelType w:val="hybridMultilevel"/>
    <w:tmpl w:val="A3A456C2"/>
    <w:lvl w:ilvl="0" w:tplc="3F7848BC">
      <w:start w:val="1"/>
      <w:numFmt w:val="bullet"/>
      <w:pStyle w:val="TabelleListe1"/>
      <w:lvlText w:val=""/>
      <w:lvlJc w:val="left"/>
      <w:pPr>
        <w:tabs>
          <w:tab w:val="num" w:pos="425"/>
        </w:tabs>
        <w:ind w:left="425" w:hanging="368"/>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16E27"/>
    <w:multiLevelType w:val="hybridMultilevel"/>
    <w:tmpl w:val="B270F06C"/>
    <w:lvl w:ilvl="0" w:tplc="6B704260">
      <w:start w:val="1"/>
      <w:numFmt w:val="bullet"/>
      <w:pStyle w:val="TabelleListe3"/>
      <w:lvlText w:val=""/>
      <w:lvlJc w:val="left"/>
      <w:pPr>
        <w:tabs>
          <w:tab w:val="num" w:pos="1276"/>
        </w:tabs>
        <w:ind w:left="1276" w:hanging="369"/>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3737E"/>
    <w:multiLevelType w:val="hybridMultilevel"/>
    <w:tmpl w:val="EF180C5C"/>
    <w:lvl w:ilvl="0" w:tplc="55A86F02">
      <w:start w:val="1"/>
      <w:numFmt w:val="bullet"/>
      <w:pStyle w:val="Liste"/>
      <w:lvlText w:val=""/>
      <w:lvlJc w:val="left"/>
      <w:pPr>
        <w:tabs>
          <w:tab w:val="num" w:pos="567"/>
        </w:tabs>
        <w:ind w:left="567" w:hanging="39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D527F"/>
    <w:multiLevelType w:val="hybridMultilevel"/>
    <w:tmpl w:val="9BC6A090"/>
    <w:lvl w:ilvl="0" w:tplc="0088AA1A">
      <w:start w:val="1"/>
      <w:numFmt w:val="decimal"/>
      <w:lvlText w:val="%1.1.1"/>
      <w:lvlJc w:val="left"/>
      <w:pPr>
        <w:tabs>
          <w:tab w:val="num" w:pos="108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583220A"/>
    <w:multiLevelType w:val="hybridMultilevel"/>
    <w:tmpl w:val="3C1C550A"/>
    <w:lvl w:ilvl="0" w:tplc="AE5EFC58">
      <w:start w:val="1"/>
      <w:numFmt w:val="bullet"/>
      <w:pStyle w:val="Liste5"/>
      <w:lvlText w:val=""/>
      <w:lvlJc w:val="left"/>
      <w:pPr>
        <w:tabs>
          <w:tab w:val="num" w:pos="2118"/>
        </w:tabs>
        <w:ind w:left="2118"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36A72"/>
    <w:multiLevelType w:val="hybridMultilevel"/>
    <w:tmpl w:val="EB048B32"/>
    <w:lvl w:ilvl="0" w:tplc="E7D0C1D6">
      <w:start w:val="1"/>
      <w:numFmt w:val="bullet"/>
      <w:pStyle w:val="TabelleListe2"/>
      <w:lvlText w:val="o"/>
      <w:lvlJc w:val="left"/>
      <w:pPr>
        <w:tabs>
          <w:tab w:val="num" w:pos="851"/>
        </w:tabs>
        <w:ind w:left="851" w:hanging="369"/>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310061"/>
    <w:multiLevelType w:val="hybridMultilevel"/>
    <w:tmpl w:val="6F58FC98"/>
    <w:lvl w:ilvl="0" w:tplc="D5A6E0AA">
      <w:start w:val="1"/>
      <w:numFmt w:val="bullet"/>
      <w:pStyle w:val="Liste4"/>
      <w:lvlText w:val=""/>
      <w:lvlJc w:val="left"/>
      <w:pPr>
        <w:tabs>
          <w:tab w:val="num" w:pos="1758"/>
        </w:tabs>
        <w:ind w:left="1758" w:hanging="397"/>
      </w:pPr>
      <w:rPr>
        <w:rFonts w:ascii="Wingdings 2" w:hAnsi="Wingdings 2"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26412"/>
    <w:multiLevelType w:val="multilevel"/>
    <w:tmpl w:val="BB2610D0"/>
    <w:lvl w:ilvl="0">
      <w:start w:val="1"/>
      <w:numFmt w:val="decimal"/>
      <w:pStyle w:val="Listengliederu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9E376C4"/>
    <w:multiLevelType w:val="hybridMultilevel"/>
    <w:tmpl w:val="36B2CA9E"/>
    <w:lvl w:ilvl="0" w:tplc="498A9E28">
      <w:start w:val="1"/>
      <w:numFmt w:val="decimal"/>
      <w:lvlText w:val="%1.1.1.1"/>
      <w:lvlJc w:val="left"/>
      <w:pPr>
        <w:tabs>
          <w:tab w:val="num" w:pos="144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DBE5AB5"/>
    <w:multiLevelType w:val="multilevel"/>
    <w:tmpl w:val="9EBACBD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1.1"/>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417673"/>
    <w:multiLevelType w:val="multilevel"/>
    <w:tmpl w:val="FB2A37B2"/>
    <w:lvl w:ilvl="0">
      <w:start w:val="1"/>
      <w:numFmt w:val="upperLetter"/>
      <w:pStyle w:val="Annex"/>
      <w:suff w:val="space"/>
      <w:lvlText w:val="Anne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4510571"/>
    <w:multiLevelType w:val="hybridMultilevel"/>
    <w:tmpl w:val="D16E1B14"/>
    <w:lvl w:ilvl="0" w:tplc="17822B4E">
      <w:start w:val="1"/>
      <w:numFmt w:val="bullet"/>
      <w:pStyle w:val="Liste2"/>
      <w:lvlText w:val=""/>
      <w:lvlJc w:val="left"/>
      <w:pPr>
        <w:tabs>
          <w:tab w:val="num" w:pos="964"/>
        </w:tabs>
        <w:ind w:left="964" w:hanging="39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567E6"/>
    <w:multiLevelType w:val="multilevel"/>
    <w:tmpl w:val="0BB2FAA0"/>
    <w:lvl w:ilvl="0">
      <w:start w:val="1"/>
      <w:numFmt w:val="decimal"/>
      <w:lvlText w:val="%1"/>
      <w:lvlJc w:val="left"/>
      <w:pPr>
        <w:tabs>
          <w:tab w:val="num" w:pos="1021"/>
        </w:tabs>
        <w:ind w:left="1021" w:hanging="1021"/>
      </w:pPr>
      <w:rPr>
        <w:rFonts w:hint="default"/>
        <w:b/>
        <w:sz w:val="22"/>
        <w:szCs w:val="22"/>
      </w:rPr>
    </w:lvl>
    <w:lvl w:ilvl="1">
      <w:start w:val="1"/>
      <w:numFmt w:val="decimal"/>
      <w:pStyle w:val="berschrift2"/>
      <w:lvlText w:val="%1.%2"/>
      <w:lvlJc w:val="left"/>
      <w:pPr>
        <w:tabs>
          <w:tab w:val="num" w:pos="1021"/>
        </w:tabs>
        <w:ind w:left="1021" w:hanging="1021"/>
      </w:pPr>
      <w:rPr>
        <w:rFonts w:hint="default"/>
        <w:b/>
      </w:rPr>
    </w:lvl>
    <w:lvl w:ilvl="2">
      <w:start w:val="1"/>
      <w:numFmt w:val="decimal"/>
      <w:pStyle w:val="berschrift3"/>
      <w:lvlText w:val="%1.%2.%3"/>
      <w:lvlJc w:val="left"/>
      <w:pPr>
        <w:tabs>
          <w:tab w:val="num" w:pos="1021"/>
        </w:tabs>
        <w:ind w:left="1021" w:hanging="1021"/>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pStyle w:val="berschrift5"/>
      <w:lvlText w:val="%1.%2.%3.%4.%5"/>
      <w:lvlJc w:val="left"/>
      <w:pPr>
        <w:tabs>
          <w:tab w:val="num" w:pos="1474"/>
        </w:tabs>
        <w:ind w:left="1474" w:hanging="1474"/>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474"/>
        </w:tabs>
        <w:ind w:left="1474" w:hanging="1474"/>
      </w:pPr>
      <w:rPr>
        <w:rFonts w:hint="default"/>
      </w:rPr>
    </w:lvl>
    <w:lvl w:ilvl="7">
      <w:start w:val="1"/>
      <w:numFmt w:val="decimal"/>
      <w:pStyle w:val="berschrift8"/>
      <w:lvlText w:val="%1.%2.%3.%4.%5.%6.%7.%8"/>
      <w:lvlJc w:val="left"/>
      <w:pPr>
        <w:tabs>
          <w:tab w:val="num" w:pos="1474"/>
        </w:tabs>
        <w:ind w:left="1474" w:hanging="1474"/>
      </w:pPr>
      <w:rPr>
        <w:rFonts w:hint="default"/>
      </w:rPr>
    </w:lvl>
    <w:lvl w:ilvl="8">
      <w:start w:val="1"/>
      <w:numFmt w:val="decimal"/>
      <w:pStyle w:val="berschrift9"/>
      <w:lvlText w:val="%1.%2.%3.%4.%5.%6.%7.%8.%9"/>
      <w:lvlJc w:val="left"/>
      <w:pPr>
        <w:tabs>
          <w:tab w:val="num" w:pos="1800"/>
        </w:tabs>
        <w:ind w:left="1588" w:hanging="1588"/>
      </w:pPr>
      <w:rPr>
        <w:rFonts w:hint="default"/>
      </w:rPr>
    </w:lvl>
  </w:abstractNum>
  <w:num w:numId="1" w16cid:durableId="1044065823">
    <w:abstractNumId w:val="7"/>
  </w:num>
  <w:num w:numId="2" w16cid:durableId="694818044">
    <w:abstractNumId w:val="11"/>
  </w:num>
  <w:num w:numId="3" w16cid:durableId="480539918">
    <w:abstractNumId w:val="16"/>
  </w:num>
  <w:num w:numId="4" w16cid:durableId="900598368">
    <w:abstractNumId w:val="20"/>
  </w:num>
  <w:num w:numId="5" w16cid:durableId="1094011048">
    <w:abstractNumId w:val="4"/>
  </w:num>
  <w:num w:numId="6" w16cid:durableId="2025007792">
    <w:abstractNumId w:val="3"/>
  </w:num>
  <w:num w:numId="7" w16cid:durableId="2027319386">
    <w:abstractNumId w:val="8"/>
  </w:num>
  <w:num w:numId="8" w16cid:durableId="477771786">
    <w:abstractNumId w:val="13"/>
  </w:num>
  <w:num w:numId="9" w16cid:durableId="2111465620">
    <w:abstractNumId w:val="9"/>
  </w:num>
  <w:num w:numId="10" w16cid:durableId="690185405">
    <w:abstractNumId w:val="6"/>
  </w:num>
  <w:num w:numId="11" w16cid:durableId="209458453">
    <w:abstractNumId w:val="17"/>
  </w:num>
  <w:num w:numId="12" w16cid:durableId="241526107">
    <w:abstractNumId w:val="10"/>
  </w:num>
  <w:num w:numId="13" w16cid:durableId="1588997852">
    <w:abstractNumId w:val="19"/>
  </w:num>
  <w:num w:numId="14" w16cid:durableId="617492541">
    <w:abstractNumId w:val="5"/>
  </w:num>
  <w:num w:numId="15" w16cid:durableId="923688523">
    <w:abstractNumId w:val="14"/>
  </w:num>
  <w:num w:numId="16" w16cid:durableId="1174106899">
    <w:abstractNumId w:val="12"/>
  </w:num>
  <w:num w:numId="17" w16cid:durableId="1725251967">
    <w:abstractNumId w:val="2"/>
  </w:num>
  <w:num w:numId="18" w16cid:durableId="1097094085">
    <w:abstractNumId w:val="1"/>
  </w:num>
  <w:num w:numId="19" w16cid:durableId="1507359997">
    <w:abstractNumId w:val="0"/>
  </w:num>
  <w:num w:numId="20" w16cid:durableId="846137996">
    <w:abstractNumId w:val="20"/>
  </w:num>
  <w:num w:numId="21" w16cid:durableId="2048676393">
    <w:abstractNumId w:val="15"/>
  </w:num>
  <w:num w:numId="22" w16cid:durableId="620652435">
    <w:abstractNumId w:val="18"/>
  </w:num>
  <w:num w:numId="23" w16cid:durableId="482432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5805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6566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0346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83194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75803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515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95755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6124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2838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0763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3269618">
    <w:abstractNumId w:val="20"/>
  </w:num>
  <w:num w:numId="35" w16cid:durableId="980882663">
    <w:abstractNumId w:val="20"/>
  </w:num>
  <w:num w:numId="36" w16cid:durableId="892813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9656855">
    <w:abstractNumId w:val="20"/>
  </w:num>
  <w:num w:numId="38" w16cid:durableId="1597595272">
    <w:abstractNumId w:val="20"/>
  </w:num>
  <w:num w:numId="39" w16cid:durableId="936325323">
    <w:abstractNumId w:val="20"/>
  </w:num>
  <w:num w:numId="40" w16cid:durableId="1340549541">
    <w:abstractNumId w:val="20"/>
  </w:num>
  <w:num w:numId="41" w16cid:durableId="1540825286">
    <w:abstractNumId w:val="20"/>
  </w:num>
  <w:num w:numId="42" w16cid:durableId="20001092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82"/>
    <w:rsid w:val="000049F8"/>
    <w:rsid w:val="00041D1B"/>
    <w:rsid w:val="00046474"/>
    <w:rsid w:val="00062A89"/>
    <w:rsid w:val="00080376"/>
    <w:rsid w:val="000946B7"/>
    <w:rsid w:val="000A2C0B"/>
    <w:rsid w:val="000A4E56"/>
    <w:rsid w:val="000E0A89"/>
    <w:rsid w:val="000E3B1B"/>
    <w:rsid w:val="00122CBD"/>
    <w:rsid w:val="0013212E"/>
    <w:rsid w:val="00192DB4"/>
    <w:rsid w:val="001A4D82"/>
    <w:rsid w:val="001A5F1F"/>
    <w:rsid w:val="001C47B4"/>
    <w:rsid w:val="001F3536"/>
    <w:rsid w:val="0021794F"/>
    <w:rsid w:val="00232B9F"/>
    <w:rsid w:val="0027503D"/>
    <w:rsid w:val="00286EDC"/>
    <w:rsid w:val="002B3F75"/>
    <w:rsid w:val="002F2A34"/>
    <w:rsid w:val="003016A5"/>
    <w:rsid w:val="00352294"/>
    <w:rsid w:val="0036055A"/>
    <w:rsid w:val="00370111"/>
    <w:rsid w:val="00390C68"/>
    <w:rsid w:val="0039203A"/>
    <w:rsid w:val="003B06BB"/>
    <w:rsid w:val="003C040B"/>
    <w:rsid w:val="003F7575"/>
    <w:rsid w:val="00451319"/>
    <w:rsid w:val="0045449E"/>
    <w:rsid w:val="0046338A"/>
    <w:rsid w:val="00477068"/>
    <w:rsid w:val="00487C88"/>
    <w:rsid w:val="00535AAA"/>
    <w:rsid w:val="00544609"/>
    <w:rsid w:val="005622FA"/>
    <w:rsid w:val="00563E6A"/>
    <w:rsid w:val="005B17FB"/>
    <w:rsid w:val="005C0F69"/>
    <w:rsid w:val="00614292"/>
    <w:rsid w:val="00646163"/>
    <w:rsid w:val="00680719"/>
    <w:rsid w:val="007375C6"/>
    <w:rsid w:val="00753772"/>
    <w:rsid w:val="007A59B5"/>
    <w:rsid w:val="007E67F5"/>
    <w:rsid w:val="00833929"/>
    <w:rsid w:val="00846AAB"/>
    <w:rsid w:val="00860947"/>
    <w:rsid w:val="00880714"/>
    <w:rsid w:val="00894981"/>
    <w:rsid w:val="008D7665"/>
    <w:rsid w:val="008E33E6"/>
    <w:rsid w:val="00915452"/>
    <w:rsid w:val="00922967"/>
    <w:rsid w:val="009B7593"/>
    <w:rsid w:val="009D77D6"/>
    <w:rsid w:val="00A4085B"/>
    <w:rsid w:val="00A4295E"/>
    <w:rsid w:val="00AA4406"/>
    <w:rsid w:val="00AB7E93"/>
    <w:rsid w:val="00BB5579"/>
    <w:rsid w:val="00BB6229"/>
    <w:rsid w:val="00BF6D34"/>
    <w:rsid w:val="00C35846"/>
    <w:rsid w:val="00C82266"/>
    <w:rsid w:val="00CA60F1"/>
    <w:rsid w:val="00CE3DD3"/>
    <w:rsid w:val="00CE7063"/>
    <w:rsid w:val="00D03B17"/>
    <w:rsid w:val="00D643C0"/>
    <w:rsid w:val="00D81986"/>
    <w:rsid w:val="00E22734"/>
    <w:rsid w:val="00E45D68"/>
    <w:rsid w:val="00E73941"/>
    <w:rsid w:val="00EB458A"/>
    <w:rsid w:val="00EB7C91"/>
    <w:rsid w:val="00ED3806"/>
    <w:rsid w:val="00EF4987"/>
    <w:rsid w:val="00F66237"/>
    <w:rsid w:val="00FC0E9D"/>
    <w:rsid w:val="00FE4029"/>
    <w:rsid w:val="00FF534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336486F"/>
  <w15:docId w15:val="{DDF8FF48-A724-4892-B240-E1AD0C89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line="360" w:lineRule="auto"/>
      <w:jc w:val="both"/>
    </w:pPr>
    <w:rPr>
      <w:rFonts w:ascii="Arial" w:hAnsi="Arial"/>
      <w:sz w:val="22"/>
      <w:szCs w:val="24"/>
      <w:lang w:val="de-AT"/>
    </w:rPr>
  </w:style>
  <w:style w:type="paragraph" w:styleId="berschrift1">
    <w:name w:val="heading 1"/>
    <w:basedOn w:val="Standard"/>
    <w:next w:val="Standard"/>
    <w:link w:val="berschrift1Zchn"/>
    <w:qFormat/>
    <w:pPr>
      <w:keepNext/>
      <w:pageBreakBefore/>
      <w:spacing w:before="0" w:after="60"/>
      <w:outlineLvl w:val="0"/>
    </w:pPr>
    <w:rPr>
      <w:rFonts w:ascii="Arial Fett" w:hAnsi="Arial Fett" w:cs="Arial"/>
      <w:b/>
      <w:bCs/>
      <w:kern w:val="32"/>
      <w:sz w:val="24"/>
      <w:szCs w:val="32"/>
      <w:lang w:val="de-DE"/>
    </w:rPr>
  </w:style>
  <w:style w:type="paragraph" w:styleId="berschrift2">
    <w:name w:val="heading 2"/>
    <w:basedOn w:val="Standard"/>
    <w:next w:val="Standard"/>
    <w:link w:val="berschrift2Zchn"/>
    <w:qFormat/>
    <w:pPr>
      <w:keepNext/>
      <w:numPr>
        <w:ilvl w:val="1"/>
        <w:numId w:val="4"/>
      </w:numPr>
      <w:spacing w:before="360"/>
      <w:outlineLvl w:val="1"/>
    </w:pPr>
    <w:rPr>
      <w:b/>
      <w:bCs/>
      <w:iCs/>
      <w:szCs w:val="28"/>
    </w:rPr>
  </w:style>
  <w:style w:type="paragraph" w:styleId="berschrift3">
    <w:name w:val="heading 3"/>
    <w:basedOn w:val="Standard"/>
    <w:next w:val="Standard"/>
    <w:qFormat/>
    <w:pPr>
      <w:keepNext/>
      <w:numPr>
        <w:ilvl w:val="2"/>
        <w:numId w:val="4"/>
      </w:numPr>
      <w:spacing w:before="360"/>
      <w:outlineLvl w:val="2"/>
    </w:pPr>
    <w:rPr>
      <w:b/>
      <w:bCs/>
      <w:szCs w:val="26"/>
      <w:lang w:val="de-DE"/>
    </w:rPr>
  </w:style>
  <w:style w:type="paragraph" w:styleId="berschrift4">
    <w:name w:val="heading 4"/>
    <w:basedOn w:val="Standard"/>
    <w:next w:val="Standard"/>
    <w:qFormat/>
    <w:pPr>
      <w:keepNext/>
      <w:numPr>
        <w:ilvl w:val="3"/>
        <w:numId w:val="4"/>
      </w:numPr>
      <w:spacing w:before="360"/>
      <w:outlineLvl w:val="3"/>
    </w:pPr>
    <w:rPr>
      <w:b/>
      <w:bCs/>
      <w:szCs w:val="28"/>
    </w:rPr>
  </w:style>
  <w:style w:type="paragraph" w:styleId="berschrift5">
    <w:name w:val="heading 5"/>
    <w:basedOn w:val="Standard"/>
    <w:next w:val="Standard"/>
    <w:qFormat/>
    <w:pPr>
      <w:keepNext/>
      <w:numPr>
        <w:ilvl w:val="4"/>
        <w:numId w:val="4"/>
      </w:numPr>
      <w:outlineLvl w:val="4"/>
    </w:pPr>
    <w:rPr>
      <w:b/>
      <w:bCs/>
      <w:iCs/>
      <w:szCs w:val="26"/>
    </w:rPr>
  </w:style>
  <w:style w:type="paragraph" w:styleId="berschrift6">
    <w:name w:val="heading 6"/>
    <w:basedOn w:val="Standard"/>
    <w:next w:val="Standard"/>
    <w:qFormat/>
    <w:pPr>
      <w:keepNext/>
      <w:numPr>
        <w:ilvl w:val="5"/>
        <w:numId w:val="4"/>
      </w:numPr>
      <w:outlineLvl w:val="5"/>
    </w:pPr>
    <w:rPr>
      <w:b/>
      <w:bCs/>
      <w:szCs w:val="22"/>
    </w:rPr>
  </w:style>
  <w:style w:type="paragraph" w:styleId="berschrift7">
    <w:name w:val="heading 7"/>
    <w:basedOn w:val="Standard"/>
    <w:next w:val="Standard"/>
    <w:qFormat/>
    <w:pPr>
      <w:keepNext/>
      <w:numPr>
        <w:ilvl w:val="6"/>
        <w:numId w:val="4"/>
      </w:numPr>
      <w:outlineLvl w:val="6"/>
    </w:pPr>
    <w:rPr>
      <w:b/>
      <w:sz w:val="24"/>
    </w:rPr>
  </w:style>
  <w:style w:type="paragraph" w:styleId="berschrift8">
    <w:name w:val="heading 8"/>
    <w:basedOn w:val="Standard"/>
    <w:next w:val="Standard"/>
    <w:qFormat/>
    <w:pPr>
      <w:keepNext/>
      <w:numPr>
        <w:ilvl w:val="7"/>
        <w:numId w:val="4"/>
      </w:numPr>
      <w:outlineLvl w:val="7"/>
    </w:pPr>
    <w:rPr>
      <w:b/>
      <w:iCs/>
    </w:rPr>
  </w:style>
  <w:style w:type="paragraph" w:styleId="berschrift9">
    <w:name w:val="heading 9"/>
    <w:basedOn w:val="Standard"/>
    <w:next w:val="Standard"/>
    <w:qFormat/>
    <w:pPr>
      <w:keepNext/>
      <w:numPr>
        <w:ilvl w:val="8"/>
        <w:numId w:val="4"/>
      </w:numPr>
      <w:tabs>
        <w:tab w:val="left" w:pos="1588"/>
      </w:tabs>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rFonts w:ascii="Arial" w:hAnsi="Arial"/>
      <w:color w:val="0000FF"/>
      <w:sz w:val="22"/>
      <w:u w:val="single"/>
    </w:rPr>
  </w:style>
  <w:style w:type="paragraph" w:styleId="Verzeichnis1">
    <w:name w:val="toc 1"/>
    <w:basedOn w:val="Standard"/>
    <w:next w:val="Standard"/>
    <w:semiHidden/>
    <w:pPr>
      <w:tabs>
        <w:tab w:val="right" w:leader="dot" w:pos="9072"/>
      </w:tabs>
      <w:spacing w:before="100" w:beforeAutospacing="1" w:line="240" w:lineRule="auto"/>
      <w:ind w:left="1134" w:hanging="1134"/>
    </w:pPr>
    <w:rPr>
      <w:rFonts w:ascii="Arial Fett" w:hAnsi="Arial Fett"/>
      <w:b/>
    </w:rPr>
  </w:style>
  <w:style w:type="paragraph" w:styleId="Verzeichnis2">
    <w:name w:val="toc 2"/>
    <w:basedOn w:val="Standard"/>
    <w:next w:val="Standard"/>
    <w:semiHidden/>
    <w:pPr>
      <w:tabs>
        <w:tab w:val="right" w:leader="dot" w:pos="9072"/>
      </w:tabs>
      <w:spacing w:before="100" w:beforeAutospacing="1" w:line="240" w:lineRule="auto"/>
      <w:ind w:left="1134" w:hanging="1134"/>
    </w:pPr>
  </w:style>
  <w:style w:type="paragraph" w:styleId="Verzeichnis3">
    <w:name w:val="toc 3"/>
    <w:basedOn w:val="Standard"/>
    <w:next w:val="Standard"/>
    <w:semiHidden/>
    <w:pPr>
      <w:tabs>
        <w:tab w:val="right" w:leader="dot" w:pos="9072"/>
      </w:tabs>
      <w:spacing w:before="120" w:line="240" w:lineRule="auto"/>
      <w:ind w:left="1134" w:hanging="1134"/>
    </w:pPr>
  </w:style>
  <w:style w:type="paragraph" w:styleId="Verzeichnis4">
    <w:name w:val="toc 4"/>
    <w:basedOn w:val="Standard"/>
    <w:next w:val="Standard"/>
    <w:semiHidden/>
    <w:pPr>
      <w:tabs>
        <w:tab w:val="right" w:leader="dot" w:pos="9072"/>
      </w:tabs>
      <w:spacing w:before="0" w:line="240" w:lineRule="auto"/>
      <w:ind w:left="1134" w:hanging="1134"/>
    </w:pPr>
  </w:style>
  <w:style w:type="paragraph" w:styleId="Verzeichnis5">
    <w:name w:val="toc 5"/>
    <w:basedOn w:val="Standard"/>
    <w:next w:val="Standard"/>
    <w:semiHidden/>
    <w:pPr>
      <w:tabs>
        <w:tab w:val="right" w:leader="dot" w:pos="9072"/>
      </w:tabs>
      <w:spacing w:before="0" w:line="240" w:lineRule="auto"/>
      <w:ind w:left="1474" w:hanging="1474"/>
    </w:pPr>
  </w:style>
  <w:style w:type="paragraph" w:styleId="Verzeichnis6">
    <w:name w:val="toc 6"/>
    <w:basedOn w:val="Standard"/>
    <w:next w:val="Standard"/>
    <w:semiHidden/>
    <w:pPr>
      <w:tabs>
        <w:tab w:val="right" w:leader="dot" w:pos="9072"/>
      </w:tabs>
      <w:spacing w:before="0" w:line="240" w:lineRule="auto"/>
      <w:ind w:left="1474" w:hanging="1474"/>
    </w:pPr>
  </w:style>
  <w:style w:type="paragraph" w:styleId="Verzeichnis7">
    <w:name w:val="toc 7"/>
    <w:basedOn w:val="Standard"/>
    <w:next w:val="Standard"/>
    <w:semiHidden/>
    <w:pPr>
      <w:tabs>
        <w:tab w:val="right" w:leader="dot" w:pos="9072"/>
      </w:tabs>
      <w:spacing w:before="0" w:line="240" w:lineRule="auto"/>
      <w:ind w:left="1474" w:hanging="1474"/>
    </w:pPr>
  </w:style>
  <w:style w:type="paragraph" w:styleId="Verzeichnis8">
    <w:name w:val="toc 8"/>
    <w:basedOn w:val="Standard"/>
    <w:next w:val="Standard"/>
    <w:semiHidden/>
    <w:pPr>
      <w:tabs>
        <w:tab w:val="right" w:leader="dot" w:pos="9072"/>
      </w:tabs>
      <w:spacing w:before="0" w:line="240" w:lineRule="auto"/>
      <w:ind w:left="1701" w:hanging="1701"/>
    </w:pPr>
  </w:style>
  <w:style w:type="paragraph" w:styleId="Verzeichnis9">
    <w:name w:val="toc 9"/>
    <w:basedOn w:val="Standard"/>
    <w:next w:val="Standard"/>
    <w:semiHidden/>
    <w:pPr>
      <w:tabs>
        <w:tab w:val="right" w:leader="dot" w:pos="9072"/>
      </w:tabs>
      <w:spacing w:before="0" w:line="240" w:lineRule="auto"/>
      <w:ind w:left="1701" w:hanging="1701"/>
    </w:pPr>
  </w:style>
  <w:style w:type="paragraph" w:styleId="Abbildungsverzeichnis">
    <w:name w:val="table of figures"/>
    <w:basedOn w:val="Standard"/>
    <w:next w:val="Standard"/>
    <w:semiHidden/>
    <w:pPr>
      <w:tabs>
        <w:tab w:val="right" w:leader="dot" w:pos="9072"/>
      </w:tabs>
      <w:spacing w:before="100" w:beforeAutospacing="1" w:line="240" w:lineRule="auto"/>
      <w:ind w:left="454" w:hanging="454"/>
      <w:jc w:val="left"/>
    </w:pPr>
    <w:rPr>
      <w:bCs/>
    </w:rPr>
  </w:style>
  <w:style w:type="paragraph" w:styleId="Funotentext">
    <w:name w:val="footnote text"/>
    <w:basedOn w:val="Standard"/>
    <w:semiHidden/>
    <w:pPr>
      <w:tabs>
        <w:tab w:val="left" w:pos="227"/>
      </w:tabs>
      <w:spacing w:before="0" w:line="240" w:lineRule="auto"/>
      <w:ind w:left="227" w:hanging="227"/>
    </w:pPr>
    <w:rPr>
      <w:sz w:val="18"/>
      <w:szCs w:val="20"/>
      <w:lang w:val="de-DE"/>
    </w:rPr>
  </w:style>
  <w:style w:type="character" w:styleId="Funotenzeichen">
    <w:name w:val="footnote reference"/>
    <w:semiHidden/>
    <w:rPr>
      <w:rFonts w:ascii="Arial" w:hAnsi="Arial"/>
      <w:sz w:val="18"/>
      <w:vertAlign w:val="superscript"/>
    </w:rPr>
  </w:style>
  <w:style w:type="paragraph" w:styleId="Kopfzeile">
    <w:name w:val="header"/>
    <w:basedOn w:val="Standard"/>
    <w:semiHidden/>
    <w:pPr>
      <w:spacing w:before="0" w:line="240" w:lineRule="auto"/>
    </w:pPr>
    <w:rPr>
      <w:sz w:val="16"/>
    </w:rPr>
  </w:style>
  <w:style w:type="paragraph" w:customStyle="1" w:styleId="AbsenderGross">
    <w:name w:val="AbsenderGross"/>
    <w:basedOn w:val="Standard"/>
    <w:pPr>
      <w:framePr w:w="4820" w:h="2552" w:hRule="exact" w:vSpace="142" w:wrap="around" w:vAnchor="page" w:hAnchor="page" w:x="1581" w:y="2585" w:anchorLock="1"/>
      <w:overflowPunct w:val="0"/>
      <w:autoSpaceDE w:val="0"/>
      <w:autoSpaceDN w:val="0"/>
      <w:adjustRightInd w:val="0"/>
      <w:spacing w:before="0" w:line="240" w:lineRule="auto"/>
    </w:pPr>
    <w:rPr>
      <w:rFonts w:cs="Arial"/>
      <w:szCs w:val="20"/>
      <w:lang w:val="de-DE"/>
    </w:rPr>
  </w:style>
  <w:style w:type="paragraph" w:customStyle="1" w:styleId="Firmenangaben1">
    <w:name w:val="Firmenangaben1"/>
    <w:basedOn w:val="Standard"/>
    <w:pPr>
      <w:tabs>
        <w:tab w:val="left" w:pos="425"/>
      </w:tabs>
      <w:spacing w:before="0" w:line="220" w:lineRule="exact"/>
      <w:jc w:val="left"/>
    </w:pPr>
    <w:rPr>
      <w:sz w:val="17"/>
    </w:rPr>
  </w:style>
  <w:style w:type="paragraph" w:customStyle="1" w:styleId="Firmenangaben2">
    <w:name w:val="Firmenangaben2"/>
    <w:basedOn w:val="Standard"/>
    <w:pPr>
      <w:spacing w:before="0" w:line="240" w:lineRule="auto"/>
      <w:jc w:val="left"/>
    </w:pPr>
    <w:rPr>
      <w:sz w:val="17"/>
    </w:rPr>
  </w:style>
  <w:style w:type="paragraph" w:customStyle="1" w:styleId="AbsenderKlein">
    <w:name w:val="AbsenderKlein"/>
    <w:basedOn w:val="Standard"/>
    <w:next w:val="AbsenderGross"/>
    <w:pPr>
      <w:overflowPunct w:val="0"/>
      <w:autoSpaceDE w:val="0"/>
      <w:autoSpaceDN w:val="0"/>
      <w:adjustRightInd w:val="0"/>
      <w:spacing w:before="0" w:after="240" w:line="240" w:lineRule="auto"/>
      <w:jc w:val="left"/>
    </w:pPr>
    <w:rPr>
      <w:sz w:val="14"/>
      <w:szCs w:val="20"/>
      <w:u w:val="single"/>
      <w:lang w:val="de-DE"/>
    </w:rPr>
  </w:style>
  <w:style w:type="paragraph" w:styleId="Gruformel">
    <w:name w:val="Closing"/>
    <w:basedOn w:val="Standard"/>
    <w:semiHidden/>
    <w:pPr>
      <w:ind w:left="4252"/>
    </w:pPr>
  </w:style>
  <w:style w:type="paragraph" w:styleId="Fuzeile">
    <w:name w:val="footer"/>
    <w:basedOn w:val="Standard"/>
    <w:semiHidden/>
    <w:pPr>
      <w:spacing w:before="0"/>
      <w:jc w:val="right"/>
    </w:pPr>
  </w:style>
  <w:style w:type="character" w:styleId="Seitenzahl">
    <w:name w:val="page number"/>
    <w:semiHidden/>
    <w:rPr>
      <w:rFonts w:ascii="Arial" w:hAnsi="Arial"/>
      <w:sz w:val="22"/>
    </w:rPr>
  </w:style>
  <w:style w:type="paragraph" w:customStyle="1" w:styleId="Betreff">
    <w:name w:val="Betreff"/>
    <w:basedOn w:val="Standard"/>
    <w:pPr>
      <w:spacing w:before="0" w:line="320" w:lineRule="exact"/>
    </w:pPr>
    <w:rPr>
      <w:rFonts w:ascii="Arial Fett" w:hAnsi="Arial Fett"/>
      <w:b/>
      <w:bCs/>
      <w:sz w:val="20"/>
    </w:rPr>
  </w:style>
  <w:style w:type="paragraph" w:styleId="Zitat">
    <w:name w:val="Quote"/>
    <w:basedOn w:val="Standard"/>
    <w:next w:val="Standard"/>
    <w:qFormat/>
    <w:pPr>
      <w:spacing w:before="120" w:line="240" w:lineRule="auto"/>
      <w:ind w:left="567" w:right="567"/>
    </w:pPr>
    <w:rPr>
      <w:i/>
      <w:lang w:val="de-DE"/>
    </w:rPr>
  </w:style>
  <w:style w:type="paragraph" w:customStyle="1" w:styleId="Titelklein">
    <w:name w:val="Titel_klein"/>
    <w:basedOn w:val="Standard"/>
    <w:next w:val="Standard"/>
    <w:pPr>
      <w:jc w:val="center"/>
    </w:pPr>
    <w:rPr>
      <w:b/>
      <w:bCs/>
    </w:rPr>
  </w:style>
  <w:style w:type="paragraph" w:customStyle="1" w:styleId="TitelInhaltsverzeichnis">
    <w:name w:val="Titel_Inhaltsverzeichnis"/>
    <w:basedOn w:val="Standard"/>
    <w:next w:val="Standard"/>
    <w:pPr>
      <w:pageBreakBefore/>
      <w:jc w:val="center"/>
    </w:pPr>
    <w:rPr>
      <w:rFonts w:ascii="Arial Fett" w:hAnsi="Arial Fett"/>
      <w:b/>
    </w:rPr>
  </w:style>
  <w:style w:type="paragraph" w:styleId="Aufzhlungszeichen">
    <w:name w:val="List Bullet"/>
    <w:basedOn w:val="Standard"/>
    <w:semiHidden/>
    <w:pPr>
      <w:numPr>
        <w:numId w:val="5"/>
      </w:numPr>
    </w:pPr>
  </w:style>
  <w:style w:type="paragraph" w:customStyle="1" w:styleId="TabelleText">
    <w:name w:val="Tabelle_Text"/>
    <w:basedOn w:val="Standard"/>
    <w:pPr>
      <w:spacing w:before="40" w:after="40" w:line="240" w:lineRule="auto"/>
      <w:jc w:val="left"/>
    </w:pPr>
    <w:rPr>
      <w:sz w:val="20"/>
    </w:rPr>
  </w:style>
  <w:style w:type="paragraph" w:styleId="Liste">
    <w:name w:val="List"/>
    <w:basedOn w:val="Standard"/>
    <w:semiHidden/>
    <w:pPr>
      <w:numPr>
        <w:numId w:val="12"/>
      </w:numPr>
      <w:spacing w:before="120" w:line="240" w:lineRule="auto"/>
    </w:pPr>
  </w:style>
  <w:style w:type="paragraph" w:customStyle="1" w:styleId="TabelleGliederung">
    <w:name w:val="Tabelle_Gliederung"/>
    <w:basedOn w:val="TabelleText"/>
    <w:next w:val="TabelleText"/>
    <w:pPr>
      <w:numPr>
        <w:numId w:val="10"/>
      </w:numPr>
    </w:pPr>
  </w:style>
  <w:style w:type="paragraph" w:styleId="Sprechblasentext">
    <w:name w:val="Balloon Text"/>
    <w:basedOn w:val="Standard"/>
    <w:link w:val="SprechblasentextZchn"/>
    <w:uiPriority w:val="99"/>
    <w:semiHidden/>
    <w:unhideWhenUsed/>
    <w:rsid w:val="00122CBD"/>
    <w:pPr>
      <w:spacing w:before="0" w:line="240" w:lineRule="auto"/>
    </w:pPr>
    <w:rPr>
      <w:rFonts w:ascii="Tahoma" w:hAnsi="Tahoma" w:cs="Tahoma"/>
      <w:sz w:val="16"/>
      <w:szCs w:val="16"/>
    </w:rPr>
  </w:style>
  <w:style w:type="paragraph" w:customStyle="1" w:styleId="TabelleListe1">
    <w:name w:val="Tabelle_Liste1"/>
    <w:basedOn w:val="TabelleText"/>
    <w:pPr>
      <w:numPr>
        <w:numId w:val="7"/>
      </w:numPr>
    </w:pPr>
  </w:style>
  <w:style w:type="paragraph" w:customStyle="1" w:styleId="TabelleListe2">
    <w:name w:val="Tabelle_Liste2"/>
    <w:basedOn w:val="TabelleText"/>
    <w:pPr>
      <w:numPr>
        <w:numId w:val="8"/>
      </w:numPr>
    </w:pPr>
  </w:style>
  <w:style w:type="paragraph" w:customStyle="1" w:styleId="TabelleListe3">
    <w:name w:val="Tabelle_Liste3"/>
    <w:basedOn w:val="TabelleText"/>
    <w:pPr>
      <w:numPr>
        <w:numId w:val="9"/>
      </w:numPr>
    </w:pPr>
  </w:style>
  <w:style w:type="character" w:customStyle="1" w:styleId="SprechblasentextZchn">
    <w:name w:val="Sprechblasentext Zchn"/>
    <w:basedOn w:val="Absatz-Standardschriftart"/>
    <w:link w:val="Sprechblasentext"/>
    <w:uiPriority w:val="99"/>
    <w:semiHidden/>
    <w:rsid w:val="00122CBD"/>
    <w:rPr>
      <w:rFonts w:ascii="Tahoma" w:hAnsi="Tahoma" w:cs="Tahoma"/>
      <w:sz w:val="16"/>
      <w:szCs w:val="16"/>
      <w:lang w:val="de-AT"/>
    </w:rPr>
  </w:style>
  <w:style w:type="paragraph" w:customStyle="1" w:styleId="berschrift1ohneNummer">
    <w:name w:val="Überschrift 1_ohne Nummer"/>
    <w:basedOn w:val="berschrift1"/>
    <w:next w:val="Standard"/>
    <w:pPr>
      <w:jc w:val="center"/>
    </w:pPr>
    <w:rPr>
      <w:caps/>
    </w:rPr>
  </w:style>
  <w:style w:type="paragraph" w:customStyle="1" w:styleId="Annex">
    <w:name w:val="Annex"/>
    <w:basedOn w:val="Standard"/>
    <w:next w:val="Standard"/>
    <w:pPr>
      <w:keepNext/>
      <w:pageBreakBefore/>
      <w:numPr>
        <w:numId w:val="22"/>
      </w:numPr>
      <w:spacing w:before="0" w:after="120"/>
    </w:pPr>
    <w:rPr>
      <w:rFonts w:ascii="Arial Fett" w:hAnsi="Arial Fett"/>
      <w:b/>
      <w:sz w:val="24"/>
    </w:rPr>
  </w:style>
  <w:style w:type="character" w:styleId="Zeilennummer">
    <w:name w:val="line number"/>
    <w:basedOn w:val="Absatz-Standardschriftart"/>
    <w:semiHidden/>
  </w:style>
  <w:style w:type="paragraph" w:customStyle="1" w:styleId="Literatur">
    <w:name w:val="Literatur"/>
    <w:basedOn w:val="Standard"/>
    <w:pPr>
      <w:ind w:left="425" w:hanging="425"/>
      <w:jc w:val="left"/>
    </w:pPr>
    <w:rPr>
      <w:lang w:val="de-DE"/>
    </w:rPr>
  </w:style>
  <w:style w:type="paragraph" w:styleId="Liste2">
    <w:name w:val="List 2"/>
    <w:basedOn w:val="Standard"/>
    <w:semiHidden/>
    <w:pPr>
      <w:numPr>
        <w:numId w:val="13"/>
      </w:numPr>
      <w:spacing w:before="120" w:line="240" w:lineRule="auto"/>
    </w:pPr>
  </w:style>
  <w:style w:type="paragraph" w:styleId="Liste3">
    <w:name w:val="List 3"/>
    <w:basedOn w:val="Standard"/>
    <w:semiHidden/>
    <w:pPr>
      <w:numPr>
        <w:numId w:val="14"/>
      </w:numPr>
      <w:spacing w:before="120" w:line="240" w:lineRule="auto"/>
    </w:pPr>
  </w:style>
  <w:style w:type="paragraph" w:styleId="Liste4">
    <w:name w:val="List 4"/>
    <w:basedOn w:val="Standard"/>
    <w:semiHidden/>
    <w:pPr>
      <w:numPr>
        <w:numId w:val="15"/>
      </w:numPr>
      <w:spacing w:before="120" w:line="240" w:lineRule="auto"/>
    </w:pPr>
  </w:style>
  <w:style w:type="paragraph" w:styleId="Liste5">
    <w:name w:val="List 5"/>
    <w:basedOn w:val="Standard"/>
    <w:semiHidden/>
    <w:pPr>
      <w:numPr>
        <w:numId w:val="16"/>
      </w:numPr>
      <w:tabs>
        <w:tab w:val="clear" w:pos="2118"/>
        <w:tab w:val="left" w:pos="2155"/>
      </w:tabs>
      <w:spacing w:before="120" w:line="240" w:lineRule="auto"/>
      <w:ind w:left="2155" w:hanging="397"/>
    </w:pPr>
  </w:style>
  <w:style w:type="paragraph" w:styleId="Listenfortsetzung">
    <w:name w:val="List Continue"/>
    <w:basedOn w:val="Standard"/>
    <w:semiHidden/>
    <w:pPr>
      <w:spacing w:before="0" w:line="240" w:lineRule="auto"/>
      <w:ind w:left="567"/>
    </w:pPr>
  </w:style>
  <w:style w:type="paragraph" w:styleId="Listenfortsetzung2">
    <w:name w:val="List Continue 2"/>
    <w:basedOn w:val="Standard"/>
    <w:semiHidden/>
    <w:pPr>
      <w:spacing w:before="0" w:line="240" w:lineRule="auto"/>
      <w:ind w:left="964"/>
    </w:pPr>
  </w:style>
  <w:style w:type="paragraph" w:styleId="Listenfortsetzung3">
    <w:name w:val="List Continue 3"/>
    <w:basedOn w:val="Standard"/>
    <w:semiHidden/>
    <w:pPr>
      <w:spacing w:before="0" w:line="240" w:lineRule="auto"/>
      <w:ind w:left="1361"/>
    </w:pPr>
  </w:style>
  <w:style w:type="paragraph" w:styleId="Listenfortsetzung4">
    <w:name w:val="List Continue 4"/>
    <w:basedOn w:val="Standard"/>
    <w:semiHidden/>
    <w:pPr>
      <w:spacing w:before="0" w:line="240" w:lineRule="auto"/>
      <w:ind w:left="1758"/>
    </w:pPr>
  </w:style>
  <w:style w:type="paragraph" w:styleId="Listenfortsetzung5">
    <w:name w:val="List Continue 5"/>
    <w:basedOn w:val="Standard"/>
    <w:semiHidden/>
    <w:pPr>
      <w:spacing w:before="0" w:line="240" w:lineRule="auto"/>
      <w:ind w:left="2155"/>
    </w:pPr>
  </w:style>
  <w:style w:type="paragraph" w:styleId="Beschriftung">
    <w:name w:val="caption"/>
    <w:basedOn w:val="Standard"/>
    <w:next w:val="Standard"/>
    <w:qFormat/>
    <w:pPr>
      <w:spacing w:before="120" w:after="120"/>
      <w:jc w:val="left"/>
    </w:pPr>
    <w:rPr>
      <w:rFonts w:ascii="Arial Fett" w:hAnsi="Arial Fett"/>
      <w:b/>
      <w:bCs/>
      <w:sz w:val="20"/>
      <w:szCs w:val="20"/>
    </w:rPr>
  </w:style>
  <w:style w:type="paragraph" w:styleId="Aufzhlungszeichen2">
    <w:name w:val="List Bullet 2"/>
    <w:basedOn w:val="Standard"/>
    <w:semiHidden/>
    <w:pPr>
      <w:numPr>
        <w:numId w:val="6"/>
      </w:numPr>
    </w:pPr>
  </w:style>
  <w:style w:type="paragraph" w:styleId="Aufzhlungszeichen3">
    <w:name w:val="List Bullet 3"/>
    <w:basedOn w:val="Standard"/>
    <w:semiHidden/>
    <w:pPr>
      <w:numPr>
        <w:numId w:val="17"/>
      </w:numPr>
    </w:pPr>
  </w:style>
  <w:style w:type="paragraph" w:styleId="Aufzhlungszeichen4">
    <w:name w:val="List Bullet 4"/>
    <w:basedOn w:val="Standard"/>
    <w:semiHidden/>
    <w:pPr>
      <w:numPr>
        <w:numId w:val="18"/>
      </w:numPr>
    </w:pPr>
  </w:style>
  <w:style w:type="paragraph" w:styleId="Aufzhlungszeichen5">
    <w:name w:val="List Bullet 5"/>
    <w:basedOn w:val="Standard"/>
    <w:semiHidden/>
    <w:pPr>
      <w:numPr>
        <w:numId w:val="19"/>
      </w:numPr>
    </w:pPr>
  </w:style>
  <w:style w:type="paragraph" w:styleId="Dokumentstruktur">
    <w:name w:val="Document Map"/>
    <w:basedOn w:val="Standard"/>
    <w:semiHidden/>
    <w:pPr>
      <w:shd w:val="clear" w:color="auto" w:fill="000080"/>
    </w:pPr>
    <w:rPr>
      <w:rFonts w:ascii="Tahoma" w:hAnsi="Tahoma" w:cs="Tahoma"/>
    </w:rPr>
  </w:style>
  <w:style w:type="paragraph" w:customStyle="1" w:styleId="Listengliederung">
    <w:name w:val="Listengliederung"/>
    <w:basedOn w:val="Standard"/>
    <w:pPr>
      <w:numPr>
        <w:numId w:val="21"/>
      </w:numPr>
      <w:spacing w:before="120" w:line="240" w:lineRule="auto"/>
      <w:ind w:left="357" w:hanging="357"/>
      <w:jc w:val="left"/>
    </w:pPr>
    <w:rPr>
      <w:lang w:val="de-DE"/>
    </w:rPr>
  </w:style>
  <w:style w:type="paragraph" w:styleId="Textkrper">
    <w:name w:val="Body Text"/>
    <w:basedOn w:val="Standard"/>
    <w:semiHidden/>
    <w:pPr>
      <w:jc w:val="left"/>
    </w:pPr>
    <w:rPr>
      <w:lang w:val="de-DE"/>
    </w:rPr>
  </w:style>
  <w:style w:type="character" w:styleId="BesuchterLink">
    <w:name w:val="FollowedHyperlink"/>
    <w:semiHidden/>
    <w:rPr>
      <w:color w:val="800080"/>
      <w:u w:val="single"/>
    </w:rPr>
  </w:style>
  <w:style w:type="table" w:styleId="Tabellenraster">
    <w:name w:val="Table Grid"/>
    <w:basedOn w:val="NormaleTabelle"/>
    <w:uiPriority w:val="59"/>
    <w:rsid w:val="001A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EF4987"/>
    <w:rPr>
      <w:rFonts w:ascii="Arial Fett" w:hAnsi="Arial Fett" w:cs="Arial"/>
      <w:b/>
      <w:bCs/>
      <w:kern w:val="32"/>
      <w:sz w:val="24"/>
      <w:szCs w:val="32"/>
    </w:rPr>
  </w:style>
  <w:style w:type="character" w:customStyle="1" w:styleId="berschrift2Zchn">
    <w:name w:val="Überschrift 2 Zchn"/>
    <w:basedOn w:val="Absatz-Standardschriftart"/>
    <w:link w:val="berschrift2"/>
    <w:rsid w:val="00EF4987"/>
    <w:rPr>
      <w:rFonts w:ascii="Arial" w:hAnsi="Arial"/>
      <w:b/>
      <w:bCs/>
      <w:iCs/>
      <w:sz w:val="22"/>
      <w:szCs w:val="28"/>
      <w:lang w:val="de-AT"/>
    </w:rPr>
  </w:style>
  <w:style w:type="character" w:styleId="Kommentarzeichen">
    <w:name w:val="annotation reference"/>
    <w:basedOn w:val="Absatz-Standardschriftart"/>
    <w:uiPriority w:val="99"/>
    <w:semiHidden/>
    <w:unhideWhenUsed/>
    <w:rsid w:val="00E45D68"/>
    <w:rPr>
      <w:sz w:val="16"/>
      <w:szCs w:val="16"/>
    </w:rPr>
  </w:style>
  <w:style w:type="paragraph" w:styleId="Kommentartext">
    <w:name w:val="annotation text"/>
    <w:basedOn w:val="Standard"/>
    <w:link w:val="KommentartextZchn"/>
    <w:uiPriority w:val="99"/>
    <w:semiHidden/>
    <w:unhideWhenUsed/>
    <w:rsid w:val="00E45D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5D68"/>
    <w:rPr>
      <w:rFonts w:ascii="Arial" w:hAnsi="Arial"/>
      <w:lang w:val="de-AT"/>
    </w:rPr>
  </w:style>
  <w:style w:type="paragraph" w:styleId="Kommentarthema">
    <w:name w:val="annotation subject"/>
    <w:basedOn w:val="Kommentartext"/>
    <w:next w:val="Kommentartext"/>
    <w:link w:val="KommentarthemaZchn"/>
    <w:uiPriority w:val="99"/>
    <w:semiHidden/>
    <w:unhideWhenUsed/>
    <w:rsid w:val="00E45D68"/>
    <w:rPr>
      <w:b/>
      <w:bCs/>
    </w:rPr>
  </w:style>
  <w:style w:type="character" w:customStyle="1" w:styleId="KommentarthemaZchn">
    <w:name w:val="Kommentarthema Zchn"/>
    <w:basedOn w:val="KommentartextZchn"/>
    <w:link w:val="Kommentarthema"/>
    <w:uiPriority w:val="99"/>
    <w:semiHidden/>
    <w:rsid w:val="00E45D68"/>
    <w:rPr>
      <w:rFonts w:ascii="Arial" w:hAnsi="Arial"/>
      <w:b/>
      <w:bCs/>
      <w:lang w:val="de-AT"/>
    </w:rPr>
  </w:style>
  <w:style w:type="paragraph" w:styleId="berarbeitung">
    <w:name w:val="Revision"/>
    <w:hidden/>
    <w:uiPriority w:val="99"/>
    <w:semiHidden/>
    <w:rsid w:val="0045449E"/>
    <w:rPr>
      <w:rFonts w:ascii="Arial" w:hAnsi="Arial"/>
      <w:sz w:val="22"/>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ing@sbr-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CC16-6842-4F3B-A8EA-2928C73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6392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Anmeldeformular_19.09.19</vt:lpstr>
    </vt:vector>
  </TitlesOfParts>
  <Company>SBR-net Consulting AG</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Anmeldeformular_19.09.19</dc:title>
  <dc:creator>freund@sbr-net.com</dc:creator>
  <cp:lastModifiedBy>Freund, Natascha Nina</cp:lastModifiedBy>
  <cp:revision>3</cp:revision>
  <cp:lastPrinted>2020-06-07T11:50:00Z</cp:lastPrinted>
  <dcterms:created xsi:type="dcterms:W3CDTF">2023-02-07T07:50:00Z</dcterms:created>
  <dcterms:modified xsi:type="dcterms:W3CDTF">2023-02-07T07:52:00Z</dcterms:modified>
</cp:coreProperties>
</file>